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687238" w14:textId="6DB21FD9" w:rsidR="005D6152" w:rsidRDefault="005D6152" w:rsidP="005D6152">
      <w:pPr>
        <w:spacing w:line="480" w:lineRule="auto"/>
        <w:rPr>
          <w:rFonts w:ascii="Times New Roman" w:hAnsi="Times New Roman"/>
          <w:sz w:val="24"/>
          <w:szCs w:val="24"/>
        </w:rPr>
      </w:pPr>
      <w:r>
        <w:rPr>
          <w:rFonts w:ascii="Times New Roman" w:hAnsi="Times New Roman"/>
          <w:sz w:val="24"/>
          <w:szCs w:val="24"/>
        </w:rPr>
        <w:t>Supplementary material</w:t>
      </w:r>
      <w:r w:rsidR="00D1765F">
        <w:rPr>
          <w:rFonts w:ascii="Times New Roman" w:hAnsi="Times New Roman"/>
          <w:sz w:val="24"/>
          <w:szCs w:val="24"/>
        </w:rPr>
        <w:t xml:space="preserve"> for</w:t>
      </w:r>
      <w:r>
        <w:rPr>
          <w:rFonts w:ascii="Times New Roman" w:hAnsi="Times New Roman"/>
          <w:sz w:val="24"/>
          <w:szCs w:val="24"/>
        </w:rPr>
        <w:t>:</w:t>
      </w:r>
    </w:p>
    <w:p w14:paraId="2DB66D39" w14:textId="77777777" w:rsidR="00907698" w:rsidRDefault="00907698" w:rsidP="00907698">
      <w:pPr>
        <w:spacing w:line="480" w:lineRule="auto"/>
        <w:rPr>
          <w:rFonts w:ascii="Times New Roman" w:hAnsi="Times New Roman"/>
          <w:sz w:val="24"/>
          <w:szCs w:val="24"/>
          <w:highlight w:val="white"/>
        </w:rPr>
      </w:pPr>
      <w:bookmarkStart w:id="0" w:name="_heading=h.26w3pbskmszj" w:colFirst="0" w:colLast="0"/>
      <w:bookmarkEnd w:id="0"/>
      <w:r>
        <w:rPr>
          <w:rFonts w:ascii="Times New Roman" w:hAnsi="Times New Roman"/>
          <w:sz w:val="24"/>
          <w:szCs w:val="24"/>
          <w:highlight w:val="white"/>
        </w:rPr>
        <w:t>Global warming confers performance advantages to a non-native predator</w:t>
      </w:r>
    </w:p>
    <w:p w14:paraId="30A24FEF" w14:textId="77777777" w:rsidR="00EC5385" w:rsidRDefault="00EC5385" w:rsidP="00D1765F">
      <w:pPr>
        <w:spacing w:line="480" w:lineRule="auto"/>
        <w:jc w:val="both"/>
        <w:rPr>
          <w:rFonts w:ascii="Times New Roman" w:hAnsi="Times New Roman"/>
          <w:sz w:val="24"/>
          <w:szCs w:val="24"/>
        </w:rPr>
      </w:pPr>
    </w:p>
    <w:p w14:paraId="058A38D8" w14:textId="627153A2" w:rsidR="005D6152" w:rsidRDefault="005D6152" w:rsidP="00D1765F">
      <w:pPr>
        <w:spacing w:line="480" w:lineRule="auto"/>
        <w:jc w:val="both"/>
        <w:rPr>
          <w:rFonts w:ascii="Times New Roman" w:hAnsi="Times New Roman"/>
          <w:sz w:val="24"/>
          <w:szCs w:val="24"/>
        </w:rPr>
      </w:pPr>
      <w:r>
        <w:rPr>
          <w:rFonts w:ascii="Times New Roman" w:hAnsi="Times New Roman"/>
          <w:sz w:val="24"/>
          <w:szCs w:val="24"/>
        </w:rPr>
        <w:t xml:space="preserve">Future water temperature predictions </w:t>
      </w:r>
    </w:p>
    <w:p w14:paraId="22B3618E" w14:textId="77777777" w:rsidR="005D6152" w:rsidRDefault="005D6152" w:rsidP="005D6152">
      <w:pPr>
        <w:spacing w:before="240" w:after="240" w:line="480" w:lineRule="auto"/>
        <w:rPr>
          <w:rFonts w:ascii="Times New Roman" w:hAnsi="Times New Roman"/>
          <w:sz w:val="24"/>
          <w:szCs w:val="24"/>
        </w:rPr>
      </w:pPr>
      <w:r>
        <w:rPr>
          <w:rFonts w:ascii="Times New Roman" w:hAnsi="Times New Roman"/>
          <w:sz w:val="24"/>
          <w:szCs w:val="24"/>
          <w:highlight w:val="white"/>
        </w:rPr>
        <w:t>To investigate when the selected elevated temperature could be present at the fish collection site, and thus relate the results to the natural thermal conditions, we used available data to simulate the further temperature increase until the end of the century.</w:t>
      </w:r>
      <w:r>
        <w:rPr>
          <w:rFonts w:ascii="Times New Roman" w:hAnsi="Times New Roman"/>
          <w:sz w:val="24"/>
          <w:szCs w:val="24"/>
        </w:rPr>
        <w:t xml:space="preserve"> This was done using the public hydrological data provided by the Institute of Meteorology and Water Management (Instytut Meteorologii i Gospodarki Wodnej) in Poland (https://danepubliczne.imgw.pl/pl/datastore, accessed 15</w:t>
      </w:r>
      <w:r>
        <w:rPr>
          <w:rFonts w:ascii="Times New Roman" w:hAnsi="Times New Roman"/>
          <w:sz w:val="24"/>
          <w:szCs w:val="24"/>
          <w:vertAlign w:val="superscript"/>
        </w:rPr>
        <w:t>th</w:t>
      </w:r>
      <w:r>
        <w:rPr>
          <w:rFonts w:ascii="Times New Roman" w:hAnsi="Times New Roman"/>
          <w:sz w:val="24"/>
          <w:szCs w:val="24"/>
        </w:rPr>
        <w:t xml:space="preserve"> of April, 2024). We used data for mean daily water temperature in summer (June-August) from Tuchola station, located on the Brda River (53°34'24.0"N 17°54'13.4"E), the closest to the collection site (ca. 50 km in straight line/ca. 65 km upstream), from 1984 to 2009.</w:t>
      </w:r>
      <w:r>
        <w:rPr>
          <w:rFonts w:ascii="Times New Roman" w:hAnsi="Times New Roman"/>
          <w:sz w:val="24"/>
          <w:szCs w:val="24"/>
          <w:highlight w:val="white"/>
        </w:rPr>
        <w:t xml:space="preserve"> Further, we </w:t>
      </w:r>
      <w:r>
        <w:rPr>
          <w:rFonts w:ascii="Times New Roman" w:hAnsi="Times New Roman"/>
          <w:sz w:val="24"/>
          <w:szCs w:val="24"/>
        </w:rPr>
        <w:t>fitted a generalised linear models (Gaussian family) separately for each summer month (June–August). Water temperature was included as a dependent variable and year as a fixed explanatory factor.</w:t>
      </w:r>
    </w:p>
    <w:p w14:paraId="56B24912" w14:textId="77777777" w:rsidR="005D6152" w:rsidRDefault="005D6152" w:rsidP="005D6152">
      <w:pPr>
        <w:spacing w:before="240" w:after="240" w:line="480" w:lineRule="auto"/>
        <w:ind w:firstLine="720"/>
        <w:rPr>
          <w:rFonts w:ascii="Times New Roman" w:hAnsi="Times New Roman"/>
          <w:sz w:val="24"/>
          <w:szCs w:val="24"/>
        </w:rPr>
      </w:pPr>
      <w:r>
        <w:rPr>
          <w:rFonts w:ascii="Times New Roman" w:hAnsi="Times New Roman"/>
          <w:sz w:val="24"/>
          <w:szCs w:val="24"/>
        </w:rPr>
        <w:t>Based on these models, we predicted mean water temperature in a particular month with their 95% confidence intervals for years 1984-2100.  The elevated temperature chosen for the study (23</w:t>
      </w:r>
      <w:r w:rsidRPr="00584051">
        <w:rPr>
          <w:rFonts w:ascii="Times New Roman" w:hAnsi="Times New Roman"/>
          <w:sz w:val="24"/>
          <w:szCs w:val="24"/>
          <w:vertAlign w:val="superscript"/>
        </w:rPr>
        <w:t>o</w:t>
      </w:r>
      <w:r>
        <w:rPr>
          <w:rFonts w:ascii="Times New Roman" w:hAnsi="Times New Roman"/>
          <w:sz w:val="24"/>
          <w:szCs w:val="24"/>
        </w:rPr>
        <w:t>C) will be present at fish collection site by the end of the century (Table S1, Figure S1).</w:t>
      </w:r>
    </w:p>
    <w:p w14:paraId="10AA1221" w14:textId="77777777" w:rsidR="005D6152" w:rsidRDefault="005D6152" w:rsidP="005D6152">
      <w:pPr>
        <w:spacing w:before="240" w:after="240" w:line="480" w:lineRule="auto"/>
        <w:rPr>
          <w:rFonts w:ascii="Times New Roman" w:hAnsi="Times New Roman"/>
          <w:sz w:val="24"/>
          <w:szCs w:val="24"/>
        </w:rPr>
      </w:pPr>
      <w:r>
        <w:rPr>
          <w:rFonts w:ascii="Times New Roman" w:hAnsi="Times New Roman"/>
          <w:b/>
          <w:sz w:val="24"/>
          <w:szCs w:val="24"/>
        </w:rPr>
        <w:t>Table S1</w:t>
      </w:r>
      <w:r>
        <w:rPr>
          <w:rFonts w:ascii="Times New Roman" w:hAnsi="Times New Roman"/>
          <w:sz w:val="24"/>
          <w:szCs w:val="24"/>
        </w:rPr>
        <w:t>. Generalised linear models summary, examining future water temperature predictions at fish collection site separately for each summer month (June–August). Water temperature was included as a dependent variable and year (1984 – 2009) as a covariate. Significant effect of year was reported by each model (in bold).</w:t>
      </w:r>
    </w:p>
    <w:tbl>
      <w:tblPr>
        <w:tblW w:w="5445" w:type="dxa"/>
        <w:tblBorders>
          <w:top w:val="nil"/>
          <w:left w:val="nil"/>
          <w:bottom w:val="nil"/>
          <w:right w:val="nil"/>
          <w:insideH w:val="nil"/>
          <w:insideV w:val="nil"/>
        </w:tblBorders>
        <w:tblLayout w:type="fixed"/>
        <w:tblLook w:val="0600" w:firstRow="0" w:lastRow="0" w:firstColumn="0" w:lastColumn="0" w:noHBand="1" w:noVBand="1"/>
      </w:tblPr>
      <w:tblGrid>
        <w:gridCol w:w="1305"/>
        <w:gridCol w:w="1425"/>
        <w:gridCol w:w="1290"/>
        <w:gridCol w:w="1425"/>
      </w:tblGrid>
      <w:tr w:rsidR="005D6152" w14:paraId="747DE4DE" w14:textId="77777777" w:rsidTr="00155C10">
        <w:trPr>
          <w:trHeight w:val="330"/>
        </w:trPr>
        <w:tc>
          <w:tcPr>
            <w:tcW w:w="130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6786469D" w14:textId="77777777" w:rsidR="005D6152" w:rsidRDefault="005D6152" w:rsidP="00155C10">
            <w:pPr>
              <w:spacing w:after="0"/>
              <w:rPr>
                <w:rFonts w:ascii="Times New Roman" w:hAnsi="Times New Roman"/>
                <w:b/>
                <w:sz w:val="24"/>
                <w:szCs w:val="24"/>
              </w:rPr>
            </w:pPr>
            <w:r>
              <w:rPr>
                <w:rFonts w:ascii="Times New Roman" w:hAnsi="Times New Roman"/>
                <w:b/>
                <w:sz w:val="24"/>
                <w:szCs w:val="24"/>
              </w:rPr>
              <w:lastRenderedPageBreak/>
              <w:t>Month</w:t>
            </w:r>
          </w:p>
        </w:tc>
        <w:tc>
          <w:tcPr>
            <w:tcW w:w="1425" w:type="dxa"/>
            <w:tcBorders>
              <w:top w:val="single" w:sz="8" w:space="0" w:color="000000"/>
              <w:bottom w:val="single" w:sz="8" w:space="0" w:color="000000"/>
              <w:right w:val="single" w:sz="8" w:space="0" w:color="000000"/>
            </w:tcBorders>
            <w:tcMar>
              <w:top w:w="0" w:type="dxa"/>
              <w:left w:w="80" w:type="dxa"/>
              <w:bottom w:w="0" w:type="dxa"/>
              <w:right w:w="80" w:type="dxa"/>
            </w:tcMar>
          </w:tcPr>
          <w:p w14:paraId="254FF1F1" w14:textId="77777777" w:rsidR="005D6152" w:rsidRDefault="005D6152" w:rsidP="00155C10">
            <w:pPr>
              <w:spacing w:after="0"/>
              <w:rPr>
                <w:rFonts w:ascii="Times New Roman" w:hAnsi="Times New Roman"/>
                <w:b/>
                <w:sz w:val="24"/>
                <w:szCs w:val="24"/>
              </w:rPr>
            </w:pPr>
            <w:r>
              <w:rPr>
                <w:rFonts w:ascii="Times New Roman" w:hAnsi="Times New Roman"/>
                <w:b/>
                <w:sz w:val="24"/>
                <w:szCs w:val="24"/>
              </w:rPr>
              <w:t>Term</w:t>
            </w:r>
          </w:p>
        </w:tc>
        <w:tc>
          <w:tcPr>
            <w:tcW w:w="1290" w:type="dxa"/>
            <w:tcBorders>
              <w:top w:val="single" w:sz="8" w:space="0" w:color="000000"/>
              <w:bottom w:val="single" w:sz="8" w:space="0" w:color="000000"/>
              <w:right w:val="single" w:sz="8" w:space="0" w:color="000000"/>
            </w:tcBorders>
            <w:tcMar>
              <w:top w:w="0" w:type="dxa"/>
              <w:left w:w="80" w:type="dxa"/>
              <w:bottom w:w="0" w:type="dxa"/>
              <w:right w:w="80" w:type="dxa"/>
            </w:tcMar>
          </w:tcPr>
          <w:p w14:paraId="07017C87" w14:textId="77777777" w:rsidR="005D6152" w:rsidRDefault="005D6152" w:rsidP="00155C10">
            <w:pPr>
              <w:spacing w:after="0"/>
              <w:rPr>
                <w:rFonts w:ascii="Times New Roman" w:hAnsi="Times New Roman"/>
                <w:b/>
                <w:sz w:val="24"/>
                <w:szCs w:val="24"/>
              </w:rPr>
            </w:pPr>
            <w:r>
              <w:rPr>
                <w:rFonts w:ascii="Times New Roman" w:hAnsi="Times New Roman"/>
                <w:b/>
                <w:sz w:val="24"/>
                <w:szCs w:val="24"/>
              </w:rPr>
              <w:t>F-value</w:t>
            </w:r>
          </w:p>
        </w:tc>
        <w:tc>
          <w:tcPr>
            <w:tcW w:w="1425" w:type="dxa"/>
            <w:tcBorders>
              <w:top w:val="single" w:sz="8" w:space="0" w:color="000000"/>
              <w:bottom w:val="single" w:sz="8" w:space="0" w:color="000000"/>
              <w:right w:val="single" w:sz="8" w:space="0" w:color="000000"/>
            </w:tcBorders>
            <w:tcMar>
              <w:top w:w="0" w:type="dxa"/>
              <w:left w:w="80" w:type="dxa"/>
              <w:bottom w:w="0" w:type="dxa"/>
              <w:right w:w="80" w:type="dxa"/>
            </w:tcMar>
          </w:tcPr>
          <w:p w14:paraId="5F12EF94" w14:textId="77777777" w:rsidR="005D6152" w:rsidRDefault="005D6152" w:rsidP="00155C10">
            <w:pPr>
              <w:spacing w:after="0"/>
              <w:rPr>
                <w:rFonts w:ascii="Times New Roman" w:hAnsi="Times New Roman"/>
                <w:b/>
                <w:sz w:val="24"/>
                <w:szCs w:val="24"/>
              </w:rPr>
            </w:pPr>
            <w:r>
              <w:rPr>
                <w:rFonts w:ascii="Times New Roman" w:hAnsi="Times New Roman"/>
                <w:b/>
                <w:sz w:val="24"/>
                <w:szCs w:val="24"/>
              </w:rPr>
              <w:t>p-value</w:t>
            </w:r>
          </w:p>
        </w:tc>
      </w:tr>
      <w:tr w:rsidR="005D6152" w14:paraId="54C948E3" w14:textId="77777777" w:rsidTr="00155C10">
        <w:trPr>
          <w:trHeight w:val="330"/>
        </w:trPr>
        <w:tc>
          <w:tcPr>
            <w:tcW w:w="1305" w:type="dxa"/>
            <w:tcBorders>
              <w:left w:val="single" w:sz="8" w:space="0" w:color="000000"/>
              <w:bottom w:val="single" w:sz="8" w:space="0" w:color="000000"/>
              <w:right w:val="single" w:sz="8" w:space="0" w:color="000000"/>
            </w:tcBorders>
            <w:tcMar>
              <w:top w:w="20" w:type="dxa"/>
              <w:left w:w="20" w:type="dxa"/>
              <w:bottom w:w="20" w:type="dxa"/>
              <w:right w:w="20" w:type="dxa"/>
            </w:tcMar>
          </w:tcPr>
          <w:p w14:paraId="1CC20C44" w14:textId="77777777" w:rsidR="005D6152" w:rsidRDefault="005D6152" w:rsidP="00155C10">
            <w:pPr>
              <w:spacing w:after="0"/>
              <w:rPr>
                <w:rFonts w:ascii="Times New Roman" w:hAnsi="Times New Roman"/>
                <w:sz w:val="24"/>
                <w:szCs w:val="24"/>
              </w:rPr>
            </w:pPr>
            <w:r>
              <w:rPr>
                <w:rFonts w:ascii="Times New Roman" w:hAnsi="Times New Roman"/>
                <w:sz w:val="24"/>
                <w:szCs w:val="24"/>
              </w:rPr>
              <w:t>June</w:t>
            </w:r>
          </w:p>
        </w:tc>
        <w:tc>
          <w:tcPr>
            <w:tcW w:w="1425" w:type="dxa"/>
            <w:tcBorders>
              <w:bottom w:val="single" w:sz="8" w:space="0" w:color="000000"/>
              <w:right w:val="single" w:sz="8" w:space="0" w:color="000000"/>
            </w:tcBorders>
            <w:tcMar>
              <w:top w:w="0" w:type="dxa"/>
              <w:left w:w="80" w:type="dxa"/>
              <w:bottom w:w="0" w:type="dxa"/>
              <w:right w:w="80" w:type="dxa"/>
            </w:tcMar>
          </w:tcPr>
          <w:p w14:paraId="5B5D4AAB" w14:textId="77777777" w:rsidR="005D6152" w:rsidRDefault="005D6152" w:rsidP="00155C10">
            <w:pPr>
              <w:spacing w:after="0"/>
              <w:rPr>
                <w:rFonts w:ascii="Times New Roman" w:hAnsi="Times New Roman"/>
                <w:b/>
                <w:sz w:val="24"/>
                <w:szCs w:val="24"/>
              </w:rPr>
            </w:pPr>
            <w:r>
              <w:rPr>
                <w:rFonts w:ascii="Times New Roman" w:hAnsi="Times New Roman"/>
                <w:b/>
                <w:sz w:val="24"/>
                <w:szCs w:val="24"/>
              </w:rPr>
              <w:t>year</w:t>
            </w:r>
          </w:p>
        </w:tc>
        <w:tc>
          <w:tcPr>
            <w:tcW w:w="1290" w:type="dxa"/>
            <w:tcBorders>
              <w:bottom w:val="single" w:sz="8" w:space="0" w:color="000000"/>
              <w:right w:val="single" w:sz="8" w:space="0" w:color="000000"/>
            </w:tcBorders>
            <w:tcMar>
              <w:top w:w="0" w:type="dxa"/>
              <w:left w:w="80" w:type="dxa"/>
              <w:bottom w:w="0" w:type="dxa"/>
              <w:right w:w="80" w:type="dxa"/>
            </w:tcMar>
          </w:tcPr>
          <w:p w14:paraId="25066447" w14:textId="77777777" w:rsidR="005D6152" w:rsidRDefault="005D6152" w:rsidP="00155C10">
            <w:pPr>
              <w:spacing w:after="0"/>
              <w:jc w:val="right"/>
              <w:rPr>
                <w:rFonts w:ascii="Times New Roman" w:hAnsi="Times New Roman"/>
                <w:b/>
                <w:sz w:val="24"/>
                <w:szCs w:val="24"/>
              </w:rPr>
            </w:pPr>
            <w:r>
              <w:rPr>
                <w:rFonts w:ascii="Times New Roman" w:hAnsi="Times New Roman"/>
                <w:b/>
                <w:sz w:val="24"/>
                <w:szCs w:val="24"/>
              </w:rPr>
              <w:t>83.568</w:t>
            </w:r>
          </w:p>
        </w:tc>
        <w:tc>
          <w:tcPr>
            <w:tcW w:w="1425" w:type="dxa"/>
            <w:tcBorders>
              <w:bottom w:val="single" w:sz="8" w:space="0" w:color="000000"/>
              <w:right w:val="single" w:sz="8" w:space="0" w:color="000000"/>
            </w:tcBorders>
            <w:tcMar>
              <w:top w:w="0" w:type="dxa"/>
              <w:left w:w="80" w:type="dxa"/>
              <w:bottom w:w="0" w:type="dxa"/>
              <w:right w:w="80" w:type="dxa"/>
            </w:tcMar>
          </w:tcPr>
          <w:p w14:paraId="0141CFB0" w14:textId="77777777" w:rsidR="005D6152" w:rsidRDefault="005D6152" w:rsidP="00155C10">
            <w:pPr>
              <w:spacing w:after="0"/>
              <w:jc w:val="right"/>
              <w:rPr>
                <w:rFonts w:ascii="Times New Roman" w:hAnsi="Times New Roman"/>
                <w:b/>
                <w:sz w:val="24"/>
                <w:szCs w:val="24"/>
              </w:rPr>
            </w:pPr>
            <w:r>
              <w:rPr>
                <w:rFonts w:ascii="Times New Roman" w:hAnsi="Times New Roman"/>
                <w:b/>
                <w:sz w:val="24"/>
                <w:szCs w:val="24"/>
              </w:rPr>
              <w:t>&lt;0.001</w:t>
            </w:r>
          </w:p>
        </w:tc>
      </w:tr>
      <w:tr w:rsidR="005D6152" w14:paraId="3F3E8C13" w14:textId="77777777" w:rsidTr="00155C10">
        <w:trPr>
          <w:trHeight w:val="330"/>
        </w:trPr>
        <w:tc>
          <w:tcPr>
            <w:tcW w:w="1305" w:type="dxa"/>
            <w:tcBorders>
              <w:left w:val="single" w:sz="8" w:space="0" w:color="000000"/>
              <w:bottom w:val="single" w:sz="8" w:space="0" w:color="000000"/>
              <w:right w:val="single" w:sz="8" w:space="0" w:color="000000"/>
            </w:tcBorders>
            <w:tcMar>
              <w:top w:w="20" w:type="dxa"/>
              <w:left w:w="20" w:type="dxa"/>
              <w:bottom w:w="20" w:type="dxa"/>
              <w:right w:w="20" w:type="dxa"/>
            </w:tcMar>
          </w:tcPr>
          <w:p w14:paraId="48FDFDEA" w14:textId="77777777" w:rsidR="005D6152" w:rsidRDefault="005D6152" w:rsidP="00155C10">
            <w:pPr>
              <w:spacing w:after="0"/>
              <w:rPr>
                <w:rFonts w:ascii="Times New Roman" w:hAnsi="Times New Roman"/>
                <w:sz w:val="24"/>
                <w:szCs w:val="24"/>
              </w:rPr>
            </w:pPr>
            <w:r>
              <w:rPr>
                <w:rFonts w:ascii="Times New Roman" w:hAnsi="Times New Roman"/>
                <w:sz w:val="24"/>
                <w:szCs w:val="24"/>
              </w:rPr>
              <w:t>July</w:t>
            </w:r>
          </w:p>
        </w:tc>
        <w:tc>
          <w:tcPr>
            <w:tcW w:w="1425" w:type="dxa"/>
            <w:tcBorders>
              <w:bottom w:val="single" w:sz="8" w:space="0" w:color="000000"/>
              <w:right w:val="single" w:sz="8" w:space="0" w:color="000000"/>
            </w:tcBorders>
            <w:tcMar>
              <w:top w:w="0" w:type="dxa"/>
              <w:left w:w="80" w:type="dxa"/>
              <w:bottom w:w="0" w:type="dxa"/>
              <w:right w:w="80" w:type="dxa"/>
            </w:tcMar>
          </w:tcPr>
          <w:p w14:paraId="5302C9F5" w14:textId="77777777" w:rsidR="005D6152" w:rsidRDefault="005D6152" w:rsidP="00155C10">
            <w:pPr>
              <w:spacing w:after="0"/>
              <w:rPr>
                <w:rFonts w:ascii="Times New Roman" w:hAnsi="Times New Roman"/>
                <w:b/>
                <w:sz w:val="24"/>
                <w:szCs w:val="24"/>
              </w:rPr>
            </w:pPr>
            <w:r>
              <w:rPr>
                <w:rFonts w:ascii="Times New Roman" w:hAnsi="Times New Roman"/>
                <w:b/>
                <w:sz w:val="24"/>
                <w:szCs w:val="24"/>
              </w:rPr>
              <w:t>year</w:t>
            </w:r>
          </w:p>
        </w:tc>
        <w:tc>
          <w:tcPr>
            <w:tcW w:w="1290" w:type="dxa"/>
            <w:tcBorders>
              <w:bottom w:val="single" w:sz="8" w:space="0" w:color="000000"/>
              <w:right w:val="single" w:sz="8" w:space="0" w:color="000000"/>
            </w:tcBorders>
            <w:tcMar>
              <w:top w:w="0" w:type="dxa"/>
              <w:left w:w="80" w:type="dxa"/>
              <w:bottom w:w="0" w:type="dxa"/>
              <w:right w:w="80" w:type="dxa"/>
            </w:tcMar>
          </w:tcPr>
          <w:p w14:paraId="2D0A8E94" w14:textId="77777777" w:rsidR="005D6152" w:rsidRDefault="005D6152" w:rsidP="00155C10">
            <w:pPr>
              <w:spacing w:after="0"/>
              <w:jc w:val="right"/>
              <w:rPr>
                <w:rFonts w:ascii="Times New Roman" w:hAnsi="Times New Roman"/>
                <w:b/>
                <w:sz w:val="24"/>
                <w:szCs w:val="24"/>
              </w:rPr>
            </w:pPr>
            <w:r>
              <w:rPr>
                <w:rFonts w:ascii="Times New Roman" w:hAnsi="Times New Roman"/>
                <w:b/>
                <w:sz w:val="24"/>
                <w:szCs w:val="24"/>
              </w:rPr>
              <w:t>199.86</w:t>
            </w:r>
          </w:p>
        </w:tc>
        <w:tc>
          <w:tcPr>
            <w:tcW w:w="1425" w:type="dxa"/>
            <w:tcBorders>
              <w:bottom w:val="single" w:sz="8" w:space="0" w:color="000000"/>
              <w:right w:val="single" w:sz="8" w:space="0" w:color="000000"/>
            </w:tcBorders>
            <w:tcMar>
              <w:top w:w="0" w:type="dxa"/>
              <w:left w:w="80" w:type="dxa"/>
              <w:bottom w:w="0" w:type="dxa"/>
              <w:right w:w="80" w:type="dxa"/>
            </w:tcMar>
          </w:tcPr>
          <w:p w14:paraId="090C7DB0" w14:textId="77777777" w:rsidR="005D6152" w:rsidRDefault="005D6152" w:rsidP="00155C10">
            <w:pPr>
              <w:spacing w:after="0"/>
              <w:jc w:val="right"/>
              <w:rPr>
                <w:rFonts w:ascii="Times New Roman" w:hAnsi="Times New Roman"/>
                <w:b/>
                <w:sz w:val="24"/>
                <w:szCs w:val="24"/>
              </w:rPr>
            </w:pPr>
            <w:r>
              <w:rPr>
                <w:rFonts w:ascii="Times New Roman" w:hAnsi="Times New Roman"/>
                <w:b/>
                <w:sz w:val="24"/>
                <w:szCs w:val="24"/>
              </w:rPr>
              <w:t>&lt;0.001</w:t>
            </w:r>
          </w:p>
        </w:tc>
      </w:tr>
      <w:tr w:rsidR="005D6152" w14:paraId="631B9A95" w14:textId="77777777" w:rsidTr="00155C10">
        <w:trPr>
          <w:trHeight w:val="330"/>
        </w:trPr>
        <w:tc>
          <w:tcPr>
            <w:tcW w:w="1305" w:type="dxa"/>
            <w:tcBorders>
              <w:left w:val="single" w:sz="8" w:space="0" w:color="000000"/>
              <w:bottom w:val="single" w:sz="8" w:space="0" w:color="000000"/>
              <w:right w:val="single" w:sz="8" w:space="0" w:color="000000"/>
            </w:tcBorders>
            <w:tcMar>
              <w:top w:w="20" w:type="dxa"/>
              <w:left w:w="20" w:type="dxa"/>
              <w:bottom w:w="20" w:type="dxa"/>
              <w:right w:w="20" w:type="dxa"/>
            </w:tcMar>
          </w:tcPr>
          <w:p w14:paraId="5D908526" w14:textId="77777777" w:rsidR="005D6152" w:rsidRDefault="005D6152" w:rsidP="00155C10">
            <w:pPr>
              <w:spacing w:after="0"/>
              <w:rPr>
                <w:rFonts w:ascii="Times New Roman" w:hAnsi="Times New Roman"/>
                <w:sz w:val="24"/>
                <w:szCs w:val="24"/>
              </w:rPr>
            </w:pPr>
            <w:r>
              <w:rPr>
                <w:rFonts w:ascii="Times New Roman" w:hAnsi="Times New Roman"/>
                <w:sz w:val="24"/>
                <w:szCs w:val="24"/>
              </w:rPr>
              <w:t>August</w:t>
            </w:r>
          </w:p>
        </w:tc>
        <w:tc>
          <w:tcPr>
            <w:tcW w:w="1425" w:type="dxa"/>
            <w:tcBorders>
              <w:bottom w:val="single" w:sz="8" w:space="0" w:color="000000"/>
              <w:right w:val="single" w:sz="8" w:space="0" w:color="000000"/>
            </w:tcBorders>
            <w:tcMar>
              <w:top w:w="0" w:type="dxa"/>
              <w:left w:w="80" w:type="dxa"/>
              <w:bottom w:w="0" w:type="dxa"/>
              <w:right w:w="80" w:type="dxa"/>
            </w:tcMar>
          </w:tcPr>
          <w:p w14:paraId="0C50F141" w14:textId="77777777" w:rsidR="005D6152" w:rsidRDefault="005D6152" w:rsidP="00155C10">
            <w:pPr>
              <w:spacing w:after="0"/>
              <w:rPr>
                <w:rFonts w:ascii="Times New Roman" w:hAnsi="Times New Roman"/>
                <w:b/>
                <w:sz w:val="24"/>
                <w:szCs w:val="24"/>
              </w:rPr>
            </w:pPr>
            <w:r>
              <w:rPr>
                <w:rFonts w:ascii="Times New Roman" w:hAnsi="Times New Roman"/>
                <w:b/>
                <w:sz w:val="24"/>
                <w:szCs w:val="24"/>
              </w:rPr>
              <w:t>year</w:t>
            </w:r>
          </w:p>
        </w:tc>
        <w:tc>
          <w:tcPr>
            <w:tcW w:w="1290" w:type="dxa"/>
            <w:tcBorders>
              <w:bottom w:val="single" w:sz="8" w:space="0" w:color="000000"/>
              <w:right w:val="single" w:sz="8" w:space="0" w:color="000000"/>
            </w:tcBorders>
            <w:tcMar>
              <w:top w:w="0" w:type="dxa"/>
              <w:left w:w="80" w:type="dxa"/>
              <w:bottom w:w="0" w:type="dxa"/>
              <w:right w:w="80" w:type="dxa"/>
            </w:tcMar>
          </w:tcPr>
          <w:p w14:paraId="1843F40D" w14:textId="77777777" w:rsidR="005D6152" w:rsidRDefault="005D6152" w:rsidP="00155C10">
            <w:pPr>
              <w:spacing w:after="0"/>
              <w:jc w:val="right"/>
              <w:rPr>
                <w:rFonts w:ascii="Times New Roman" w:hAnsi="Times New Roman"/>
                <w:b/>
                <w:sz w:val="24"/>
                <w:szCs w:val="24"/>
              </w:rPr>
            </w:pPr>
            <w:r>
              <w:rPr>
                <w:rFonts w:ascii="Times New Roman" w:hAnsi="Times New Roman"/>
                <w:b/>
                <w:sz w:val="24"/>
                <w:szCs w:val="24"/>
              </w:rPr>
              <w:t>128.32</w:t>
            </w:r>
          </w:p>
        </w:tc>
        <w:tc>
          <w:tcPr>
            <w:tcW w:w="1425" w:type="dxa"/>
            <w:tcBorders>
              <w:bottom w:val="single" w:sz="8" w:space="0" w:color="000000"/>
              <w:right w:val="single" w:sz="8" w:space="0" w:color="000000"/>
            </w:tcBorders>
            <w:tcMar>
              <w:top w:w="0" w:type="dxa"/>
              <w:left w:w="80" w:type="dxa"/>
              <w:bottom w:w="0" w:type="dxa"/>
              <w:right w:w="80" w:type="dxa"/>
            </w:tcMar>
          </w:tcPr>
          <w:p w14:paraId="01F65B5C" w14:textId="77777777" w:rsidR="005D6152" w:rsidRDefault="005D6152" w:rsidP="00155C10">
            <w:pPr>
              <w:spacing w:after="0"/>
              <w:jc w:val="right"/>
              <w:rPr>
                <w:rFonts w:ascii="Times New Roman" w:hAnsi="Times New Roman"/>
                <w:b/>
                <w:sz w:val="24"/>
                <w:szCs w:val="24"/>
              </w:rPr>
            </w:pPr>
            <w:r>
              <w:rPr>
                <w:rFonts w:ascii="Times New Roman" w:hAnsi="Times New Roman"/>
                <w:b/>
                <w:sz w:val="24"/>
                <w:szCs w:val="24"/>
              </w:rPr>
              <w:t>&lt;0.001</w:t>
            </w:r>
          </w:p>
        </w:tc>
      </w:tr>
    </w:tbl>
    <w:p w14:paraId="35062EE2" w14:textId="77777777" w:rsidR="005D6152" w:rsidRDefault="005D6152" w:rsidP="005D6152">
      <w:pPr>
        <w:spacing w:before="240" w:after="240" w:line="480" w:lineRule="auto"/>
        <w:rPr>
          <w:rFonts w:ascii="Times New Roman" w:hAnsi="Times New Roman"/>
          <w:sz w:val="24"/>
          <w:szCs w:val="24"/>
        </w:rPr>
      </w:pPr>
    </w:p>
    <w:p w14:paraId="49415C08" w14:textId="2BF2D44C" w:rsidR="005D6152" w:rsidRDefault="002C13E1" w:rsidP="005D6152">
      <w:pPr>
        <w:spacing w:before="240" w:after="240" w:line="480" w:lineRule="auto"/>
        <w:rPr>
          <w:rFonts w:ascii="Times New Roman" w:hAnsi="Times New Roman"/>
          <w:sz w:val="24"/>
          <w:szCs w:val="24"/>
          <w:highlight w:val="white"/>
        </w:rPr>
      </w:pPr>
      <w:r>
        <w:rPr>
          <w:rFonts w:ascii="Times New Roman" w:hAnsi="Times New Roman"/>
          <w:noProof/>
          <w:sz w:val="24"/>
          <w:szCs w:val="24"/>
          <w:highlight w:val="white"/>
        </w:rPr>
        <w:drawing>
          <wp:inline distT="0" distB="0" distL="0" distR="0" wp14:anchorId="3ACF7238" wp14:editId="02767930">
            <wp:extent cx="5756910" cy="3490595"/>
            <wp:effectExtent l="0" t="0" r="0" b="0"/>
            <wp:docPr id="123855339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56910" cy="3490595"/>
                    </a:xfrm>
                    <a:prstGeom prst="rect">
                      <a:avLst/>
                    </a:prstGeom>
                    <a:noFill/>
                    <a:ln>
                      <a:noFill/>
                    </a:ln>
                  </pic:spPr>
                </pic:pic>
              </a:graphicData>
            </a:graphic>
          </wp:inline>
        </w:drawing>
      </w:r>
    </w:p>
    <w:p w14:paraId="6B748721" w14:textId="77777777" w:rsidR="005D6152" w:rsidRDefault="005D6152" w:rsidP="005D6152">
      <w:pPr>
        <w:spacing w:before="240" w:after="240" w:line="480" w:lineRule="auto"/>
        <w:rPr>
          <w:rFonts w:ascii="Times New Roman" w:hAnsi="Times New Roman"/>
          <w:sz w:val="24"/>
          <w:szCs w:val="24"/>
        </w:rPr>
      </w:pPr>
      <w:r>
        <w:rPr>
          <w:rFonts w:ascii="Times New Roman" w:hAnsi="Times New Roman"/>
          <w:b/>
          <w:sz w:val="24"/>
          <w:szCs w:val="24"/>
        </w:rPr>
        <w:t>Figure S1</w:t>
      </w:r>
      <w:r>
        <w:rPr>
          <w:rFonts w:ascii="Times New Roman" w:hAnsi="Times New Roman"/>
          <w:sz w:val="24"/>
          <w:szCs w:val="24"/>
        </w:rPr>
        <w:t>. Mean summer water temperature at the fish collection site (Brda River) predicted by the linear regression model by the end of the 21</w:t>
      </w:r>
      <w:r>
        <w:rPr>
          <w:rFonts w:ascii="Times New Roman" w:hAnsi="Times New Roman"/>
          <w:sz w:val="24"/>
          <w:szCs w:val="24"/>
          <w:vertAlign w:val="superscript"/>
        </w:rPr>
        <w:t>st</w:t>
      </w:r>
      <w:r>
        <w:rPr>
          <w:rFonts w:ascii="Times New Roman" w:hAnsi="Times New Roman"/>
          <w:sz w:val="24"/>
          <w:szCs w:val="24"/>
        </w:rPr>
        <w:t xml:space="preserve"> century. Blue dots represent the daily water temperature values recorded in the 1984-2009 period by the Institute of Meteorology and Water Management (Instytut Meteorologii i Gospodarki Wodnej) in Poland (https://danepubliczne.imgw.pl/pl/datastore, accessed 15</w:t>
      </w:r>
      <w:r>
        <w:rPr>
          <w:rFonts w:ascii="Times New Roman" w:hAnsi="Times New Roman"/>
          <w:sz w:val="24"/>
          <w:szCs w:val="24"/>
          <w:vertAlign w:val="superscript"/>
        </w:rPr>
        <w:t>th</w:t>
      </w:r>
      <w:r>
        <w:rPr>
          <w:rFonts w:ascii="Times New Roman" w:hAnsi="Times New Roman"/>
          <w:sz w:val="24"/>
          <w:szCs w:val="24"/>
        </w:rPr>
        <w:t xml:space="preserve"> of April, 2024), at Tuchola station (53°34'24.0"N 17°54'13.4"E). Dotted lines represent the temperature used in the study for the warming scenario (23</w:t>
      </w:r>
      <w:r>
        <w:rPr>
          <w:rFonts w:ascii="Times New Roman" w:hAnsi="Times New Roman"/>
          <w:sz w:val="24"/>
          <w:szCs w:val="24"/>
          <w:vertAlign w:val="superscript"/>
        </w:rPr>
        <w:t>o</w:t>
      </w:r>
      <w:r>
        <w:rPr>
          <w:rFonts w:ascii="Times New Roman" w:hAnsi="Times New Roman"/>
          <w:sz w:val="24"/>
          <w:szCs w:val="24"/>
        </w:rPr>
        <w:t>C).</w:t>
      </w:r>
    </w:p>
    <w:p w14:paraId="7070F03A" w14:textId="77777777" w:rsidR="005D6152" w:rsidRDefault="005D6152" w:rsidP="005D6152">
      <w:pPr>
        <w:spacing w:before="240" w:after="240" w:line="480" w:lineRule="auto"/>
        <w:rPr>
          <w:rFonts w:ascii="Times New Roman" w:hAnsi="Times New Roman"/>
          <w:sz w:val="24"/>
          <w:szCs w:val="24"/>
        </w:rPr>
      </w:pPr>
    </w:p>
    <w:p w14:paraId="37BCC8FF" w14:textId="0206ED34" w:rsidR="005D6152" w:rsidRDefault="005D6152" w:rsidP="005D6152">
      <w:pPr>
        <w:spacing w:before="240" w:after="240" w:line="480" w:lineRule="auto"/>
        <w:rPr>
          <w:rFonts w:ascii="Times New Roman" w:hAnsi="Times New Roman"/>
          <w:sz w:val="24"/>
          <w:szCs w:val="24"/>
        </w:rPr>
      </w:pPr>
      <w:r>
        <w:rPr>
          <w:rFonts w:ascii="Times New Roman" w:hAnsi="Times New Roman"/>
          <w:sz w:val="24"/>
          <w:szCs w:val="24"/>
        </w:rPr>
        <w:lastRenderedPageBreak/>
        <w:t xml:space="preserve"> </w:t>
      </w:r>
      <w:r w:rsidR="0054445A">
        <w:rPr>
          <w:rFonts w:ascii="Times New Roman" w:hAnsi="Times New Roman"/>
          <w:noProof/>
          <w:sz w:val="24"/>
          <w:szCs w:val="24"/>
        </w:rPr>
        <w:drawing>
          <wp:inline distT="0" distB="0" distL="0" distR="0" wp14:anchorId="5EBFC0F0" wp14:editId="247137AD">
            <wp:extent cx="5748655" cy="4580255"/>
            <wp:effectExtent l="0" t="0" r="4445" b="0"/>
            <wp:docPr id="682075784"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48655" cy="4580255"/>
                    </a:xfrm>
                    <a:prstGeom prst="rect">
                      <a:avLst/>
                    </a:prstGeom>
                    <a:noFill/>
                    <a:ln>
                      <a:noFill/>
                    </a:ln>
                  </pic:spPr>
                </pic:pic>
              </a:graphicData>
            </a:graphic>
          </wp:inline>
        </w:drawing>
      </w:r>
    </w:p>
    <w:p w14:paraId="6077B614" w14:textId="1FC7D50C" w:rsidR="005D6152" w:rsidRDefault="005D6152" w:rsidP="005D6152">
      <w:pPr>
        <w:spacing w:before="240" w:after="240" w:line="480" w:lineRule="auto"/>
        <w:rPr>
          <w:rFonts w:ascii="Times New Roman" w:hAnsi="Times New Roman"/>
          <w:sz w:val="24"/>
          <w:szCs w:val="24"/>
        </w:rPr>
      </w:pPr>
      <w:r>
        <w:rPr>
          <w:rFonts w:ascii="Times New Roman" w:hAnsi="Times New Roman"/>
          <w:b/>
          <w:sz w:val="24"/>
          <w:szCs w:val="24"/>
        </w:rPr>
        <w:t>Figure S2</w:t>
      </w:r>
      <w:r>
        <w:rPr>
          <w:rFonts w:ascii="Times New Roman" w:hAnsi="Times New Roman"/>
          <w:sz w:val="24"/>
          <w:szCs w:val="24"/>
        </w:rPr>
        <w:t>. The schematic view of the experimental procedure. (a) Fish handling from capture to the end of the experiment. (b) Order and duration of the various stages of the experiment. (c) Procedure of prey preparation. Note that prey had two weeks to acclimate to the experimental temperature before use and during a single trial a fish received only one type of prey.</w:t>
      </w:r>
    </w:p>
    <w:p w14:paraId="6B90F621" w14:textId="154A710C" w:rsidR="005D6152" w:rsidRDefault="007E5259" w:rsidP="007E5259">
      <w:pPr>
        <w:spacing w:before="240" w:after="240" w:line="480" w:lineRule="auto"/>
        <w:jc w:val="center"/>
        <w:rPr>
          <w:rFonts w:ascii="Times New Roman" w:hAnsi="Times New Roman"/>
          <w:sz w:val="24"/>
          <w:szCs w:val="24"/>
          <w:highlight w:val="white"/>
        </w:rPr>
      </w:pPr>
      <w:r>
        <w:rPr>
          <w:rFonts w:ascii="Times New Roman" w:hAnsi="Times New Roman"/>
          <w:noProof/>
          <w:sz w:val="24"/>
          <w:szCs w:val="24"/>
          <w:highlight w:val="white"/>
        </w:rPr>
        <w:lastRenderedPageBreak/>
        <w:drawing>
          <wp:inline distT="0" distB="0" distL="0" distR="0" wp14:anchorId="5200779C" wp14:editId="25827555">
            <wp:extent cx="4572000" cy="3657600"/>
            <wp:effectExtent l="0" t="0" r="0" b="0"/>
            <wp:docPr id="208230336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572000" cy="3657600"/>
                    </a:xfrm>
                    <a:prstGeom prst="rect">
                      <a:avLst/>
                    </a:prstGeom>
                    <a:noFill/>
                    <a:ln>
                      <a:noFill/>
                    </a:ln>
                  </pic:spPr>
                </pic:pic>
              </a:graphicData>
            </a:graphic>
          </wp:inline>
        </w:drawing>
      </w:r>
    </w:p>
    <w:p w14:paraId="333F3A2A" w14:textId="2AF325B8" w:rsidR="005D6152" w:rsidRDefault="005D6152" w:rsidP="005D6152">
      <w:pPr>
        <w:spacing w:before="240" w:after="240" w:line="480" w:lineRule="auto"/>
        <w:rPr>
          <w:rFonts w:ascii="Times New Roman" w:hAnsi="Times New Roman"/>
          <w:sz w:val="24"/>
          <w:szCs w:val="24"/>
        </w:rPr>
      </w:pPr>
      <w:r>
        <w:rPr>
          <w:rFonts w:ascii="Times New Roman" w:hAnsi="Times New Roman"/>
          <w:b/>
          <w:sz w:val="24"/>
          <w:szCs w:val="24"/>
        </w:rPr>
        <w:t>Figure S3.</w:t>
      </w:r>
      <w:r>
        <w:rPr>
          <w:rFonts w:ascii="Times New Roman" w:hAnsi="Times New Roman"/>
          <w:sz w:val="24"/>
          <w:szCs w:val="24"/>
        </w:rPr>
        <w:t xml:space="preserve"> Violin box plots of </w:t>
      </w:r>
      <w:r w:rsidR="005D0E57">
        <w:rPr>
          <w:rFonts w:ascii="Times New Roman" w:hAnsi="Times New Roman"/>
          <w:sz w:val="24"/>
          <w:szCs w:val="24"/>
        </w:rPr>
        <w:t xml:space="preserve">European </w:t>
      </w:r>
      <w:r>
        <w:rPr>
          <w:rFonts w:ascii="Times New Roman" w:hAnsi="Times New Roman"/>
          <w:sz w:val="24"/>
          <w:szCs w:val="24"/>
        </w:rPr>
        <w:t>bullhead and racer goby body mass. In the boxplots, the horizontal bar displays the median, the box gives the interquartile ranges, and the whiskers show the largest and smallest values up to 1.5 × interquartile range.</w:t>
      </w:r>
    </w:p>
    <w:p w14:paraId="1BA71F92" w14:textId="42816719" w:rsidR="005D6152" w:rsidRDefault="007E5259" w:rsidP="007E5259">
      <w:pPr>
        <w:spacing w:before="240" w:line="480" w:lineRule="auto"/>
        <w:jc w:val="center"/>
        <w:rPr>
          <w:rFonts w:ascii="Times New Roman" w:hAnsi="Times New Roman"/>
          <w:sz w:val="24"/>
          <w:szCs w:val="24"/>
        </w:rPr>
      </w:pPr>
      <w:r>
        <w:rPr>
          <w:rFonts w:ascii="Times New Roman" w:hAnsi="Times New Roman"/>
          <w:noProof/>
          <w:sz w:val="24"/>
          <w:szCs w:val="24"/>
        </w:rPr>
        <w:drawing>
          <wp:inline distT="0" distB="0" distL="0" distR="0" wp14:anchorId="53808592" wp14:editId="48D4C47B">
            <wp:extent cx="4500438" cy="3693386"/>
            <wp:effectExtent l="0" t="0" r="0" b="2540"/>
            <wp:docPr id="1906364081"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507307" cy="3699023"/>
                    </a:xfrm>
                    <a:prstGeom prst="rect">
                      <a:avLst/>
                    </a:prstGeom>
                    <a:noFill/>
                    <a:ln>
                      <a:noFill/>
                    </a:ln>
                  </pic:spPr>
                </pic:pic>
              </a:graphicData>
            </a:graphic>
          </wp:inline>
        </w:drawing>
      </w:r>
    </w:p>
    <w:p w14:paraId="7572F45C" w14:textId="77777777" w:rsidR="005D6152" w:rsidRDefault="005D6152" w:rsidP="005D6152">
      <w:pPr>
        <w:spacing w:before="240" w:after="240" w:line="480" w:lineRule="auto"/>
        <w:rPr>
          <w:rFonts w:ascii="Times New Roman" w:hAnsi="Times New Roman"/>
          <w:sz w:val="24"/>
          <w:szCs w:val="24"/>
        </w:rPr>
      </w:pPr>
      <w:r>
        <w:rPr>
          <w:rFonts w:ascii="Times New Roman" w:hAnsi="Times New Roman"/>
          <w:b/>
          <w:sz w:val="24"/>
          <w:szCs w:val="24"/>
        </w:rPr>
        <w:lastRenderedPageBreak/>
        <w:t>Figure S4.</w:t>
      </w:r>
      <w:r>
        <w:rPr>
          <w:rFonts w:ascii="Times New Roman" w:hAnsi="Times New Roman"/>
          <w:sz w:val="24"/>
          <w:szCs w:val="24"/>
        </w:rPr>
        <w:t xml:space="preserve"> Functional responses between temperature (15, 23 °C) for predator species and prey treatments. Lines are the fits from Rogers random predator equation, points are raw data, and grey areas are 95% non-parametric bootstrapped confidence intervals.</w:t>
      </w:r>
    </w:p>
    <w:p w14:paraId="561562D5" w14:textId="58C9DD84" w:rsidR="005D6152" w:rsidRDefault="007E5259" w:rsidP="007E5259">
      <w:pPr>
        <w:spacing w:before="240" w:after="240" w:line="480" w:lineRule="auto"/>
        <w:jc w:val="center"/>
        <w:rPr>
          <w:rFonts w:ascii="Times New Roman" w:hAnsi="Times New Roman"/>
          <w:sz w:val="24"/>
          <w:szCs w:val="24"/>
        </w:rPr>
      </w:pPr>
      <w:r>
        <w:rPr>
          <w:rFonts w:ascii="Times New Roman" w:hAnsi="Times New Roman"/>
          <w:noProof/>
          <w:sz w:val="24"/>
          <w:szCs w:val="24"/>
        </w:rPr>
        <w:drawing>
          <wp:inline distT="0" distB="0" distL="0" distR="0" wp14:anchorId="350643E9" wp14:editId="71FE6E27">
            <wp:extent cx="4456833" cy="3657600"/>
            <wp:effectExtent l="0" t="0" r="1270" b="0"/>
            <wp:docPr id="500020438"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465921" cy="3665058"/>
                    </a:xfrm>
                    <a:prstGeom prst="rect">
                      <a:avLst/>
                    </a:prstGeom>
                    <a:noFill/>
                    <a:ln>
                      <a:noFill/>
                    </a:ln>
                  </pic:spPr>
                </pic:pic>
              </a:graphicData>
            </a:graphic>
          </wp:inline>
        </w:drawing>
      </w:r>
    </w:p>
    <w:p w14:paraId="0D7D7780" w14:textId="77777777" w:rsidR="005D6152" w:rsidRDefault="005D6152" w:rsidP="005D6152">
      <w:pPr>
        <w:spacing w:before="240" w:after="240" w:line="480" w:lineRule="auto"/>
        <w:rPr>
          <w:rFonts w:ascii="Times New Roman" w:hAnsi="Times New Roman"/>
          <w:sz w:val="24"/>
          <w:szCs w:val="24"/>
        </w:rPr>
      </w:pPr>
      <w:r>
        <w:rPr>
          <w:rFonts w:ascii="Times New Roman" w:hAnsi="Times New Roman"/>
          <w:b/>
          <w:sz w:val="24"/>
          <w:szCs w:val="24"/>
        </w:rPr>
        <w:t>Figure S5.</w:t>
      </w:r>
      <w:r>
        <w:rPr>
          <w:rFonts w:ascii="Times New Roman" w:hAnsi="Times New Roman"/>
          <w:sz w:val="24"/>
          <w:szCs w:val="24"/>
        </w:rPr>
        <w:t xml:space="preserve"> Functional responses between prey type (active, inactive) for predator species and temperature treatments. Lines are the fits from Rogers random predator equation, points are raw data, and grey areas are 95% non-parametric bootstrapped confidence intervals.</w:t>
      </w:r>
    </w:p>
    <w:p w14:paraId="42D7710C" w14:textId="77777777" w:rsidR="00E811C9" w:rsidRPr="005D6152" w:rsidRDefault="00E811C9" w:rsidP="005D6152"/>
    <w:sectPr w:rsidR="00E811C9" w:rsidRPr="005D6152" w:rsidSect="005033F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5AA049" w14:textId="77777777" w:rsidR="00D61E7D" w:rsidRDefault="00D61E7D" w:rsidP="003037EB">
      <w:pPr>
        <w:spacing w:after="0" w:line="240" w:lineRule="auto"/>
      </w:pPr>
      <w:r>
        <w:separator/>
      </w:r>
    </w:p>
  </w:endnote>
  <w:endnote w:type="continuationSeparator" w:id="0">
    <w:p w14:paraId="4BBAC054" w14:textId="77777777" w:rsidR="00D61E7D" w:rsidRDefault="00D61E7D" w:rsidP="003037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191D15" w14:textId="77777777" w:rsidR="00D61E7D" w:rsidRDefault="00D61E7D" w:rsidP="003037EB">
      <w:pPr>
        <w:spacing w:after="0" w:line="240" w:lineRule="auto"/>
      </w:pPr>
      <w:r>
        <w:separator/>
      </w:r>
    </w:p>
  </w:footnote>
  <w:footnote w:type="continuationSeparator" w:id="0">
    <w:p w14:paraId="4F7BCEAB" w14:textId="77777777" w:rsidR="00D61E7D" w:rsidRDefault="00D61E7D" w:rsidP="003037E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removePersonalInformation/>
  <w:removeDateAndTime/>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zQyMbYwMLK0MDAxMjFS0lEKTi0uzszPAykwrwUAarufdiwAAAA="/>
  </w:docVars>
  <w:rsids>
    <w:rsidRoot w:val="00B204CD"/>
    <w:rsid w:val="000142C2"/>
    <w:rsid w:val="00032F1A"/>
    <w:rsid w:val="000440DB"/>
    <w:rsid w:val="000549D6"/>
    <w:rsid w:val="00190509"/>
    <w:rsid w:val="001932C2"/>
    <w:rsid w:val="00243057"/>
    <w:rsid w:val="00253A44"/>
    <w:rsid w:val="00281CE2"/>
    <w:rsid w:val="00291C3E"/>
    <w:rsid w:val="00292DB0"/>
    <w:rsid w:val="002B586E"/>
    <w:rsid w:val="002C13E1"/>
    <w:rsid w:val="003037EB"/>
    <w:rsid w:val="003216E0"/>
    <w:rsid w:val="0033610C"/>
    <w:rsid w:val="00341B2A"/>
    <w:rsid w:val="0039219F"/>
    <w:rsid w:val="00393611"/>
    <w:rsid w:val="003C7187"/>
    <w:rsid w:val="003C7925"/>
    <w:rsid w:val="003D1E3C"/>
    <w:rsid w:val="003E1083"/>
    <w:rsid w:val="00445840"/>
    <w:rsid w:val="004959B3"/>
    <w:rsid w:val="004F5AB8"/>
    <w:rsid w:val="005033FA"/>
    <w:rsid w:val="00512DE3"/>
    <w:rsid w:val="0054445A"/>
    <w:rsid w:val="00560195"/>
    <w:rsid w:val="00584051"/>
    <w:rsid w:val="005D0E57"/>
    <w:rsid w:val="005D6152"/>
    <w:rsid w:val="006B2A44"/>
    <w:rsid w:val="006D735E"/>
    <w:rsid w:val="00716540"/>
    <w:rsid w:val="00736864"/>
    <w:rsid w:val="00752D7E"/>
    <w:rsid w:val="00757F58"/>
    <w:rsid w:val="007E5259"/>
    <w:rsid w:val="007E5982"/>
    <w:rsid w:val="00836ABE"/>
    <w:rsid w:val="008A50F0"/>
    <w:rsid w:val="008C6F7E"/>
    <w:rsid w:val="00907698"/>
    <w:rsid w:val="009A0285"/>
    <w:rsid w:val="009B135F"/>
    <w:rsid w:val="009C3155"/>
    <w:rsid w:val="009C7358"/>
    <w:rsid w:val="009E4F0E"/>
    <w:rsid w:val="00A031D7"/>
    <w:rsid w:val="00A6523B"/>
    <w:rsid w:val="00A733E4"/>
    <w:rsid w:val="00AC09A0"/>
    <w:rsid w:val="00AD40F1"/>
    <w:rsid w:val="00B204CD"/>
    <w:rsid w:val="00B91AFA"/>
    <w:rsid w:val="00BC2A28"/>
    <w:rsid w:val="00BE3147"/>
    <w:rsid w:val="00BE5601"/>
    <w:rsid w:val="00C03898"/>
    <w:rsid w:val="00C146F2"/>
    <w:rsid w:val="00C60035"/>
    <w:rsid w:val="00C61BAF"/>
    <w:rsid w:val="00CA1C6A"/>
    <w:rsid w:val="00CC62A7"/>
    <w:rsid w:val="00CD42D1"/>
    <w:rsid w:val="00D130C9"/>
    <w:rsid w:val="00D1765F"/>
    <w:rsid w:val="00D61E7D"/>
    <w:rsid w:val="00E07248"/>
    <w:rsid w:val="00E811C9"/>
    <w:rsid w:val="00E8242F"/>
    <w:rsid w:val="00E9402B"/>
    <w:rsid w:val="00EC2734"/>
    <w:rsid w:val="00EC5385"/>
    <w:rsid w:val="00EE6AB8"/>
    <w:rsid w:val="00EE7575"/>
    <w:rsid w:val="09E1727C"/>
    <w:rsid w:val="22E64A9B"/>
    <w:rsid w:val="27926C8E"/>
    <w:rsid w:val="3BC88E78"/>
    <w:rsid w:val="43B2D0BB"/>
    <w:rsid w:val="640E4177"/>
    <w:rsid w:val="6FE40BEC"/>
    <w:rsid w:val="77A6CB71"/>
    <w:rsid w:val="79E03D6F"/>
    <w:rsid w:val="7A7CEC2A"/>
    <w:rsid w:val="7C5F59A4"/>
  </w:rsids>
  <m:mathPr>
    <m:mathFont m:val="Cambria Math"/>
    <m:brkBin m:val="before"/>
    <m:brkBinSub m:val="--"/>
    <m:smallFrac m:val="0"/>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D4AF6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5D6152"/>
    <w:pPr>
      <w:spacing w:after="200" w:line="276" w:lineRule="auto"/>
    </w:pPr>
    <w:rPr>
      <w:rFonts w:ascii="Calibri" w:eastAsia="Times New Roman" w:hAnsi="Calibri" w:cs="Times New Roman"/>
      <w:kern w:val="0"/>
      <w:lang w:val="en-US" w:eastAsia="en-GB"/>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292DB0"/>
    <w:rPr>
      <w:color w:val="0563C1" w:themeColor="hyperlink"/>
      <w:u w:val="single"/>
    </w:rPr>
  </w:style>
  <w:style w:type="character" w:styleId="Nierozpoznanawzmianka">
    <w:name w:val="Unresolved Mention"/>
    <w:basedOn w:val="Domylnaczcionkaakapitu"/>
    <w:uiPriority w:val="99"/>
    <w:semiHidden/>
    <w:unhideWhenUsed/>
    <w:rsid w:val="00292DB0"/>
    <w:rPr>
      <w:color w:val="605E5C"/>
      <w:shd w:val="clear" w:color="auto" w:fill="E1DFDD"/>
    </w:rPr>
  </w:style>
  <w:style w:type="paragraph" w:styleId="NormalnyWeb">
    <w:name w:val="Normal (Web)"/>
    <w:basedOn w:val="Normalny"/>
    <w:uiPriority w:val="99"/>
    <w:semiHidden/>
    <w:unhideWhenUsed/>
    <w:rsid w:val="009E4F0E"/>
    <w:pPr>
      <w:spacing w:before="100" w:beforeAutospacing="1" w:after="100" w:afterAutospacing="1" w:line="240" w:lineRule="auto"/>
    </w:pPr>
    <w:rPr>
      <w:rFonts w:ascii="Times New Roman" w:hAnsi="Times New Roman"/>
      <w:sz w:val="24"/>
      <w:szCs w:val="24"/>
    </w:rPr>
  </w:style>
  <w:style w:type="paragraph" w:styleId="Nagwek">
    <w:name w:val="header"/>
    <w:basedOn w:val="Normalny"/>
    <w:link w:val="NagwekZnak"/>
    <w:uiPriority w:val="99"/>
    <w:unhideWhenUsed/>
    <w:rsid w:val="003037E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3037EB"/>
    <w:rPr>
      <w:rFonts w:ascii="Calibri" w:eastAsia="Times New Roman" w:hAnsi="Calibri" w:cs="Times New Roman"/>
      <w:kern w:val="0"/>
      <w:lang w:val="en-US" w:eastAsia="en-GB"/>
      <w14:ligatures w14:val="none"/>
    </w:rPr>
  </w:style>
  <w:style w:type="paragraph" w:styleId="Stopka">
    <w:name w:val="footer"/>
    <w:basedOn w:val="Normalny"/>
    <w:link w:val="StopkaZnak"/>
    <w:uiPriority w:val="99"/>
    <w:unhideWhenUsed/>
    <w:rsid w:val="003037E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3037EB"/>
    <w:rPr>
      <w:rFonts w:ascii="Calibri" w:eastAsia="Times New Roman" w:hAnsi="Calibri" w:cs="Times New Roman"/>
      <w:kern w:val="0"/>
      <w:lang w:val="en-US"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1064067">
      <w:bodyDiv w:val="1"/>
      <w:marLeft w:val="0"/>
      <w:marRight w:val="0"/>
      <w:marTop w:val="0"/>
      <w:marBottom w:val="0"/>
      <w:divBdr>
        <w:top w:val="none" w:sz="0" w:space="0" w:color="auto"/>
        <w:left w:val="none" w:sz="0" w:space="0" w:color="auto"/>
        <w:bottom w:val="none" w:sz="0" w:space="0" w:color="auto"/>
        <w:right w:val="none" w:sz="0" w:space="0" w:color="auto"/>
      </w:divBdr>
    </w:div>
    <w:div w:id="396713178">
      <w:bodyDiv w:val="1"/>
      <w:marLeft w:val="0"/>
      <w:marRight w:val="0"/>
      <w:marTop w:val="0"/>
      <w:marBottom w:val="0"/>
      <w:divBdr>
        <w:top w:val="none" w:sz="0" w:space="0" w:color="auto"/>
        <w:left w:val="none" w:sz="0" w:space="0" w:color="auto"/>
        <w:bottom w:val="none" w:sz="0" w:space="0" w:color="auto"/>
        <w:right w:val="none" w:sz="0" w:space="0" w:color="auto"/>
      </w:divBdr>
    </w:div>
    <w:div w:id="654722077">
      <w:bodyDiv w:val="1"/>
      <w:marLeft w:val="0"/>
      <w:marRight w:val="0"/>
      <w:marTop w:val="0"/>
      <w:marBottom w:val="0"/>
      <w:divBdr>
        <w:top w:val="none" w:sz="0" w:space="0" w:color="auto"/>
        <w:left w:val="none" w:sz="0" w:space="0" w:color="auto"/>
        <w:bottom w:val="none" w:sz="0" w:space="0" w:color="auto"/>
        <w:right w:val="none" w:sz="0" w:space="0" w:color="auto"/>
      </w:divBdr>
    </w:div>
    <w:div w:id="857351543">
      <w:bodyDiv w:val="1"/>
      <w:marLeft w:val="0"/>
      <w:marRight w:val="0"/>
      <w:marTop w:val="0"/>
      <w:marBottom w:val="0"/>
      <w:divBdr>
        <w:top w:val="none" w:sz="0" w:space="0" w:color="auto"/>
        <w:left w:val="none" w:sz="0" w:space="0" w:color="auto"/>
        <w:bottom w:val="none" w:sz="0" w:space="0" w:color="auto"/>
        <w:right w:val="none" w:sz="0" w:space="0" w:color="auto"/>
      </w:divBdr>
    </w:div>
    <w:div w:id="1391879430">
      <w:bodyDiv w:val="1"/>
      <w:marLeft w:val="0"/>
      <w:marRight w:val="0"/>
      <w:marTop w:val="0"/>
      <w:marBottom w:val="0"/>
      <w:divBdr>
        <w:top w:val="none" w:sz="0" w:space="0" w:color="auto"/>
        <w:left w:val="none" w:sz="0" w:space="0" w:color="auto"/>
        <w:bottom w:val="none" w:sz="0" w:space="0" w:color="auto"/>
        <w:right w:val="none" w:sz="0" w:space="0" w:color="auto"/>
      </w:divBdr>
    </w:div>
    <w:div w:id="1427733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527</Words>
  <Characters>3014</Characters>
  <Application>Microsoft Office Word</Application>
  <DocSecurity>0</DocSecurity>
  <Lines>25</Lines>
  <Paragraphs>7</Paragraphs>
  <ScaleCrop>false</ScaleCrop>
  <Company/>
  <LinksUpToDate>false</LinksUpToDate>
  <CharactersWithSpaces>3534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2024-11-09T15:29:00Z</dcterms:created>
  <dcterms:modified xsi:type="dcterms:W3CDTF">2025-03-28T18:39:00Z</dcterms:modified>
</cp:coreProperties>
</file>