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A10412" w14:textId="77777777" w:rsidR="005B194D" w:rsidRDefault="005B194D" w:rsidP="005B194D">
      <w:pPr>
        <w:spacing w:line="480" w:lineRule="auto"/>
        <w:rPr>
          <w:rFonts w:ascii="Times New Roman" w:hAnsi="Times New Roman"/>
          <w:sz w:val="24"/>
          <w:szCs w:val="24"/>
          <w:highlight w:val="white"/>
        </w:rPr>
      </w:pPr>
      <w:bookmarkStart w:id="0" w:name="_heading=h.26w3pbskmszj" w:colFirst="0" w:colLast="0"/>
      <w:bookmarkStart w:id="1" w:name="_Hlk193445976"/>
      <w:bookmarkEnd w:id="0"/>
      <w:r>
        <w:rPr>
          <w:rFonts w:ascii="Times New Roman" w:hAnsi="Times New Roman"/>
          <w:sz w:val="24"/>
          <w:szCs w:val="24"/>
          <w:highlight w:val="white"/>
        </w:rPr>
        <w:t>Global warming confers performance advantages to a non-native predator</w:t>
      </w:r>
    </w:p>
    <w:bookmarkEnd w:id="1"/>
    <w:p w14:paraId="64260AA4" w14:textId="77777777" w:rsidR="005B194D" w:rsidRPr="00D1195F" w:rsidRDefault="005B194D" w:rsidP="005B194D">
      <w:pPr>
        <w:spacing w:after="0" w:line="480" w:lineRule="auto"/>
        <w:rPr>
          <w:rFonts w:ascii="Times New Roman" w:hAnsi="Times New Roman"/>
          <w:sz w:val="24"/>
          <w:szCs w:val="24"/>
          <w:highlight w:val="white"/>
        </w:rPr>
      </w:pPr>
      <w:r>
        <w:rPr>
          <w:rFonts w:ascii="Times New Roman" w:hAnsi="Times New Roman"/>
          <w:sz w:val="24"/>
          <w:szCs w:val="24"/>
          <w:highlight w:val="white"/>
        </w:rPr>
        <w:t>Mateusz Augustyniak</w:t>
      </w:r>
      <w:r>
        <w:rPr>
          <w:rFonts w:ascii="Times New Roman" w:hAnsi="Times New Roman"/>
          <w:sz w:val="24"/>
          <w:szCs w:val="24"/>
          <w:highlight w:val="white"/>
          <w:vertAlign w:val="superscript"/>
        </w:rPr>
        <w:t>*</w:t>
      </w:r>
      <w:r>
        <w:rPr>
          <w:rFonts w:ascii="Times New Roman" w:hAnsi="Times New Roman"/>
          <w:sz w:val="24"/>
          <w:szCs w:val="24"/>
          <w:highlight w:val="white"/>
        </w:rPr>
        <w:t xml:space="preserve">, augustyniak@umk.pl, Department of Ecology and Biogeography, </w:t>
      </w:r>
      <w:r>
        <w:rPr>
          <w:rFonts w:ascii="Times New Roman" w:hAnsi="Times New Roman"/>
          <w:sz w:val="24"/>
          <w:szCs w:val="24"/>
        </w:rPr>
        <w:t>Faculty of</w:t>
      </w:r>
      <w:r>
        <w:rPr>
          <w:rFonts w:ascii="Times New Roman" w:hAnsi="Times New Roman"/>
          <w:sz w:val="24"/>
          <w:szCs w:val="24"/>
          <w:highlight w:val="white"/>
        </w:rPr>
        <w:t xml:space="preserve"> Biological and Veterinary Sciences, Nicolaus Copernicus University in </w:t>
      </w:r>
      <w:proofErr w:type="spellStart"/>
      <w:r>
        <w:rPr>
          <w:rFonts w:ascii="Times New Roman" w:hAnsi="Times New Roman"/>
          <w:sz w:val="24"/>
          <w:szCs w:val="24"/>
          <w:highlight w:val="white"/>
        </w:rPr>
        <w:t>Toruń</w:t>
      </w:r>
      <w:proofErr w:type="spellEnd"/>
      <w:r>
        <w:rPr>
          <w:rFonts w:ascii="Times New Roman" w:hAnsi="Times New Roman"/>
          <w:sz w:val="24"/>
          <w:szCs w:val="24"/>
          <w:highlight w:val="white"/>
        </w:rPr>
        <w:t>, Poland</w:t>
      </w:r>
    </w:p>
    <w:p w14:paraId="22732932" w14:textId="77777777" w:rsidR="005B194D" w:rsidRDefault="005B194D" w:rsidP="005B194D">
      <w:pPr>
        <w:spacing w:after="0" w:line="480" w:lineRule="auto"/>
        <w:rPr>
          <w:rFonts w:ascii="Times New Roman" w:hAnsi="Times New Roman"/>
          <w:sz w:val="24"/>
          <w:szCs w:val="24"/>
          <w:highlight w:val="white"/>
        </w:rPr>
      </w:pPr>
      <w:r>
        <w:rPr>
          <w:rFonts w:ascii="Times New Roman" w:hAnsi="Times New Roman"/>
          <w:sz w:val="24"/>
          <w:szCs w:val="24"/>
          <w:highlight w:val="white"/>
        </w:rPr>
        <w:t xml:space="preserve">Ross N. Cuthbert, </w:t>
      </w:r>
      <w:r w:rsidRPr="00D1195F">
        <w:rPr>
          <w:rFonts w:ascii="Times New Roman" w:hAnsi="Times New Roman"/>
          <w:sz w:val="24"/>
          <w:szCs w:val="24"/>
          <w:highlight w:val="white"/>
        </w:rPr>
        <w:t>r.cuthbert@qub.ac.uk</w:t>
      </w:r>
      <w:r>
        <w:rPr>
          <w:rFonts w:ascii="Times New Roman" w:hAnsi="Times New Roman"/>
          <w:sz w:val="24"/>
          <w:szCs w:val="24"/>
          <w:highlight w:val="white"/>
        </w:rPr>
        <w:t>, Institute for Global Food Security, School of Biological Sciences, Queen’s University Belfast, United Kingdom</w:t>
      </w:r>
    </w:p>
    <w:p w14:paraId="3700210E" w14:textId="77777777" w:rsidR="005B194D" w:rsidRPr="00D1195F" w:rsidRDefault="005B194D" w:rsidP="005B194D">
      <w:pPr>
        <w:spacing w:after="0" w:line="480" w:lineRule="auto"/>
        <w:jc w:val="both"/>
        <w:rPr>
          <w:rFonts w:ascii="Times New Roman" w:hAnsi="Times New Roman"/>
          <w:sz w:val="24"/>
          <w:szCs w:val="24"/>
        </w:rPr>
      </w:pPr>
      <w:r>
        <w:rPr>
          <w:rFonts w:ascii="Times New Roman" w:hAnsi="Times New Roman"/>
          <w:sz w:val="24"/>
          <w:szCs w:val="24"/>
          <w:highlight w:val="white"/>
        </w:rPr>
        <w:t xml:space="preserve">Jarosław Kobak, </w:t>
      </w:r>
      <w:r w:rsidRPr="00D1195F">
        <w:rPr>
          <w:rFonts w:ascii="Times New Roman" w:hAnsi="Times New Roman"/>
          <w:sz w:val="24"/>
          <w:szCs w:val="24"/>
          <w:highlight w:val="white"/>
        </w:rPr>
        <w:t>jkob73@umk.pl</w:t>
      </w:r>
      <w:r>
        <w:rPr>
          <w:rFonts w:ascii="Times New Roman" w:hAnsi="Times New Roman"/>
          <w:sz w:val="24"/>
          <w:szCs w:val="24"/>
        </w:rPr>
        <w:t xml:space="preserve">, Department of Invertebrate Zoology and Parasitology, Faculty of Biological and Veterinary Sciences, Nicolaus Copernicus University in </w:t>
      </w:r>
      <w:proofErr w:type="spellStart"/>
      <w:r>
        <w:rPr>
          <w:rFonts w:ascii="Times New Roman" w:hAnsi="Times New Roman"/>
          <w:sz w:val="24"/>
          <w:szCs w:val="24"/>
        </w:rPr>
        <w:t>Toruń</w:t>
      </w:r>
      <w:proofErr w:type="spellEnd"/>
      <w:r>
        <w:rPr>
          <w:rFonts w:ascii="Times New Roman" w:hAnsi="Times New Roman"/>
          <w:sz w:val="24"/>
          <w:szCs w:val="24"/>
        </w:rPr>
        <w:t>, Poland</w:t>
      </w:r>
    </w:p>
    <w:p w14:paraId="1B00F147" w14:textId="77777777" w:rsidR="005B194D" w:rsidRDefault="005B194D" w:rsidP="005B194D">
      <w:pPr>
        <w:spacing w:after="0" w:line="480" w:lineRule="auto"/>
        <w:rPr>
          <w:rFonts w:ascii="Times New Roman" w:hAnsi="Times New Roman"/>
          <w:sz w:val="24"/>
          <w:szCs w:val="24"/>
          <w:highlight w:val="white"/>
        </w:rPr>
      </w:pPr>
      <w:r>
        <w:rPr>
          <w:rFonts w:ascii="Times New Roman" w:hAnsi="Times New Roman"/>
          <w:sz w:val="24"/>
          <w:szCs w:val="24"/>
          <w:highlight w:val="white"/>
        </w:rPr>
        <w:t xml:space="preserve">Tomasz </w:t>
      </w:r>
      <w:proofErr w:type="spellStart"/>
      <w:r>
        <w:rPr>
          <w:rFonts w:ascii="Times New Roman" w:hAnsi="Times New Roman"/>
          <w:sz w:val="24"/>
          <w:szCs w:val="24"/>
          <w:highlight w:val="white"/>
        </w:rPr>
        <w:t>Kakareko</w:t>
      </w:r>
      <w:proofErr w:type="spellEnd"/>
      <w:r>
        <w:rPr>
          <w:rFonts w:ascii="Times New Roman" w:hAnsi="Times New Roman"/>
          <w:sz w:val="24"/>
          <w:szCs w:val="24"/>
          <w:highlight w:val="white"/>
        </w:rPr>
        <w:t xml:space="preserve">, </w:t>
      </w:r>
      <w:r w:rsidRPr="00D1195F">
        <w:rPr>
          <w:rFonts w:ascii="Times New Roman" w:hAnsi="Times New Roman"/>
          <w:sz w:val="24"/>
          <w:szCs w:val="24"/>
          <w:highlight w:val="white"/>
        </w:rPr>
        <w:t>tomasz.kakareko@umk.pl</w:t>
      </w:r>
      <w:r>
        <w:rPr>
          <w:rFonts w:ascii="Times New Roman" w:hAnsi="Times New Roman"/>
          <w:sz w:val="24"/>
          <w:szCs w:val="24"/>
          <w:highlight w:val="white"/>
        </w:rPr>
        <w:t xml:space="preserve">, Department of Ecology and Biogeography, </w:t>
      </w:r>
      <w:r>
        <w:rPr>
          <w:rFonts w:ascii="Times New Roman" w:hAnsi="Times New Roman"/>
          <w:sz w:val="24"/>
          <w:szCs w:val="24"/>
        </w:rPr>
        <w:t>Faculty of</w:t>
      </w:r>
      <w:r>
        <w:rPr>
          <w:rFonts w:ascii="Times New Roman" w:hAnsi="Times New Roman"/>
          <w:sz w:val="24"/>
          <w:szCs w:val="24"/>
          <w:highlight w:val="white"/>
        </w:rPr>
        <w:t xml:space="preserve"> Biological and Veterinary Sciences, Nicolaus Copernicus University in </w:t>
      </w:r>
      <w:proofErr w:type="spellStart"/>
      <w:r>
        <w:rPr>
          <w:rFonts w:ascii="Times New Roman" w:hAnsi="Times New Roman"/>
          <w:sz w:val="24"/>
          <w:szCs w:val="24"/>
          <w:highlight w:val="white"/>
        </w:rPr>
        <w:t>Toruń</w:t>
      </w:r>
      <w:proofErr w:type="spellEnd"/>
      <w:r>
        <w:rPr>
          <w:rFonts w:ascii="Times New Roman" w:hAnsi="Times New Roman"/>
          <w:sz w:val="24"/>
          <w:szCs w:val="24"/>
          <w:highlight w:val="white"/>
        </w:rPr>
        <w:t>, Poland</w:t>
      </w:r>
    </w:p>
    <w:p w14:paraId="0E34E672" w14:textId="77777777" w:rsidR="005B194D" w:rsidRDefault="005B194D" w:rsidP="005B194D">
      <w:pPr>
        <w:spacing w:after="0" w:line="480" w:lineRule="auto"/>
        <w:rPr>
          <w:rFonts w:ascii="Times New Roman" w:hAnsi="Times New Roman"/>
          <w:sz w:val="24"/>
          <w:szCs w:val="24"/>
          <w:highlight w:val="white"/>
        </w:rPr>
      </w:pPr>
      <w:r>
        <w:rPr>
          <w:rFonts w:ascii="Times New Roman" w:hAnsi="Times New Roman"/>
          <w:sz w:val="24"/>
          <w:szCs w:val="24"/>
          <w:highlight w:val="white"/>
        </w:rPr>
        <w:t xml:space="preserve">Łukasz </w:t>
      </w:r>
      <w:proofErr w:type="spellStart"/>
      <w:r>
        <w:rPr>
          <w:rFonts w:ascii="Times New Roman" w:hAnsi="Times New Roman"/>
          <w:sz w:val="24"/>
          <w:szCs w:val="24"/>
          <w:highlight w:val="white"/>
        </w:rPr>
        <w:t>Jermacz</w:t>
      </w:r>
      <w:proofErr w:type="spellEnd"/>
      <w:r>
        <w:rPr>
          <w:rFonts w:ascii="Times New Roman" w:hAnsi="Times New Roman"/>
          <w:sz w:val="24"/>
          <w:szCs w:val="24"/>
          <w:highlight w:val="white"/>
        </w:rPr>
        <w:t xml:space="preserve">, </w:t>
      </w:r>
      <w:r w:rsidRPr="00D1195F">
        <w:rPr>
          <w:rFonts w:ascii="Times New Roman" w:hAnsi="Times New Roman"/>
          <w:sz w:val="24"/>
          <w:szCs w:val="24"/>
          <w:highlight w:val="white"/>
        </w:rPr>
        <w:t>jermacz@umk.pl</w:t>
      </w:r>
      <w:r>
        <w:rPr>
          <w:rFonts w:ascii="Times New Roman" w:hAnsi="Times New Roman"/>
          <w:sz w:val="24"/>
          <w:szCs w:val="24"/>
          <w:highlight w:val="white"/>
        </w:rPr>
        <w:t xml:space="preserve">, Department of Ecology and Biogeography, </w:t>
      </w:r>
      <w:r>
        <w:rPr>
          <w:rFonts w:ascii="Times New Roman" w:hAnsi="Times New Roman"/>
          <w:sz w:val="24"/>
          <w:szCs w:val="24"/>
        </w:rPr>
        <w:t>Faculty of</w:t>
      </w:r>
      <w:r>
        <w:rPr>
          <w:rFonts w:ascii="Times New Roman" w:hAnsi="Times New Roman"/>
          <w:sz w:val="24"/>
          <w:szCs w:val="24"/>
          <w:highlight w:val="white"/>
        </w:rPr>
        <w:t xml:space="preserve"> Biological and Veterinary Sciences, Nicolaus Copernicus University in </w:t>
      </w:r>
      <w:proofErr w:type="spellStart"/>
      <w:r>
        <w:rPr>
          <w:rFonts w:ascii="Times New Roman" w:hAnsi="Times New Roman"/>
          <w:sz w:val="24"/>
          <w:szCs w:val="24"/>
          <w:highlight w:val="white"/>
        </w:rPr>
        <w:t>Toruń</w:t>
      </w:r>
      <w:proofErr w:type="spellEnd"/>
      <w:r>
        <w:rPr>
          <w:rFonts w:ascii="Times New Roman" w:hAnsi="Times New Roman"/>
          <w:sz w:val="24"/>
          <w:szCs w:val="24"/>
          <w:highlight w:val="white"/>
        </w:rPr>
        <w:t>, Poland</w:t>
      </w:r>
    </w:p>
    <w:p w14:paraId="1E7958FD" w14:textId="77777777" w:rsidR="005B194D" w:rsidRDefault="005B194D" w:rsidP="005B194D">
      <w:pPr>
        <w:spacing w:line="480" w:lineRule="auto"/>
        <w:jc w:val="both"/>
        <w:rPr>
          <w:rFonts w:ascii="Times New Roman" w:hAnsi="Times New Roman"/>
          <w:sz w:val="24"/>
          <w:szCs w:val="24"/>
        </w:rPr>
      </w:pPr>
    </w:p>
    <w:p w14:paraId="3057B6E1" w14:textId="77777777" w:rsidR="005B194D" w:rsidRDefault="005B194D" w:rsidP="005B194D">
      <w:pPr>
        <w:spacing w:line="480" w:lineRule="auto"/>
        <w:jc w:val="both"/>
        <w:rPr>
          <w:rFonts w:ascii="Times New Roman" w:hAnsi="Times New Roman"/>
          <w:sz w:val="24"/>
          <w:szCs w:val="24"/>
        </w:rPr>
      </w:pPr>
      <w:r>
        <w:rPr>
          <w:rFonts w:ascii="Times New Roman" w:hAnsi="Times New Roman"/>
          <w:sz w:val="24"/>
          <w:szCs w:val="24"/>
        </w:rPr>
        <w:t>* Correspondence author</w:t>
      </w:r>
    </w:p>
    <w:p w14:paraId="02DED597" w14:textId="45DF41E2" w:rsidR="00B33FFC" w:rsidRDefault="005B194D">
      <w:pPr>
        <w:spacing w:line="480" w:lineRule="auto"/>
        <w:rPr>
          <w:rFonts w:ascii="Times New Roman" w:hAnsi="Times New Roman"/>
          <w:sz w:val="24"/>
          <w:szCs w:val="24"/>
          <w:highlight w:val="white"/>
        </w:rPr>
      </w:pPr>
      <w:r>
        <w:rPr>
          <w:rFonts w:ascii="Times New Roman" w:hAnsi="Times New Roman"/>
          <w:sz w:val="24"/>
          <w:szCs w:val="24"/>
          <w:highlight w:val="white"/>
        </w:rPr>
        <w:br w:type="column"/>
      </w:r>
      <w:r w:rsidR="002F6BE4">
        <w:rPr>
          <w:rFonts w:ascii="Times New Roman" w:hAnsi="Times New Roman"/>
          <w:sz w:val="24"/>
          <w:szCs w:val="24"/>
          <w:highlight w:val="white"/>
        </w:rPr>
        <w:lastRenderedPageBreak/>
        <w:t>Abstract</w:t>
      </w:r>
    </w:p>
    <w:p w14:paraId="02DED598" w14:textId="77777777" w:rsidR="00B33FFC" w:rsidRDefault="002F6BE4">
      <w:pPr>
        <w:spacing w:after="240" w:line="480" w:lineRule="auto"/>
        <w:rPr>
          <w:rFonts w:ascii="Times New Roman" w:hAnsi="Times New Roman"/>
          <w:sz w:val="24"/>
          <w:szCs w:val="24"/>
        </w:rPr>
      </w:pPr>
      <w:r>
        <w:rPr>
          <w:rFonts w:ascii="Times New Roman" w:hAnsi="Times New Roman"/>
          <w:sz w:val="24"/>
          <w:szCs w:val="24"/>
        </w:rPr>
        <w:t xml:space="preserve">Anthropogenic impacts manifest in rising temperatures worldwide, with drastic consequences for communities and ecosystems. Ectotherms tend to reach a smaller size at maturity in warmer environments, however, whether these responses elicit performance advantages between native and invasive species remains poorly understood. This is of particular importance for aquatic ecosystems, where size structuring across trophic levels is profound, and effects of environmental change are exacerbated. Here, we investigated size-specific responses of aquatic predators (invasive racer goby, </w:t>
      </w:r>
      <w:r>
        <w:rPr>
          <w:rFonts w:ascii="Times New Roman" w:hAnsi="Times New Roman"/>
          <w:i/>
          <w:sz w:val="24"/>
          <w:szCs w:val="24"/>
        </w:rPr>
        <w:t xml:space="preserve">Babka </w:t>
      </w:r>
      <w:proofErr w:type="spellStart"/>
      <w:r>
        <w:rPr>
          <w:rFonts w:ascii="Times New Roman" w:hAnsi="Times New Roman"/>
          <w:i/>
          <w:sz w:val="24"/>
          <w:szCs w:val="24"/>
        </w:rPr>
        <w:t>gymnotrachelus</w:t>
      </w:r>
      <w:proofErr w:type="spellEnd"/>
      <w:r>
        <w:rPr>
          <w:rFonts w:ascii="Times New Roman" w:hAnsi="Times New Roman"/>
          <w:sz w:val="24"/>
          <w:szCs w:val="24"/>
        </w:rPr>
        <w:t xml:space="preserve">; native European bullhead, </w:t>
      </w:r>
      <w:r>
        <w:rPr>
          <w:rFonts w:ascii="Times New Roman" w:hAnsi="Times New Roman"/>
          <w:i/>
          <w:sz w:val="24"/>
          <w:szCs w:val="24"/>
        </w:rPr>
        <w:t>Cottus gobio</w:t>
      </w:r>
      <w:r>
        <w:rPr>
          <w:rFonts w:ascii="Times New Roman" w:hAnsi="Times New Roman"/>
          <w:sz w:val="24"/>
          <w:szCs w:val="24"/>
        </w:rPr>
        <w:t>) to current and predicted future temperatures (15</w:t>
      </w:r>
      <w:r>
        <w:rPr>
          <w:rFonts w:ascii="Times New Roman" w:hAnsi="Times New Roman"/>
          <w:sz w:val="24"/>
          <w:szCs w:val="24"/>
          <w:vertAlign w:val="superscript"/>
        </w:rPr>
        <w:t>o</w:t>
      </w:r>
      <w:r>
        <w:rPr>
          <w:rFonts w:ascii="Times New Roman" w:hAnsi="Times New Roman"/>
          <w:sz w:val="24"/>
          <w:szCs w:val="24"/>
        </w:rPr>
        <w:t>C; 23</w:t>
      </w:r>
      <w:r>
        <w:rPr>
          <w:rFonts w:ascii="Times New Roman" w:hAnsi="Times New Roman"/>
          <w:sz w:val="24"/>
          <w:szCs w:val="24"/>
          <w:vertAlign w:val="superscript"/>
        </w:rPr>
        <w:t>o</w:t>
      </w:r>
      <w:r>
        <w:rPr>
          <w:rFonts w:ascii="Times New Roman" w:hAnsi="Times New Roman"/>
          <w:sz w:val="24"/>
          <w:szCs w:val="24"/>
        </w:rPr>
        <w:t xml:space="preserve">C), using a comparative functional response approach. We show that the growth rate of both predators was negatively affected by a temperature increase, but was consistently higher for the invasive species compared to the native. Specifically, at an increased temperature, all individuals of the native species lost body mass, while small individuals of the invader were still able to grow. This was driven by changes in predators’ foraging efficiency, increased in the invasive, and decreased in the native species. Fish foraging was also shaped by prey motility, with active prey consumed more often than inactive ones. The results indicate that a temperature increase may shift the competitive balance between invasive and native species, with the former being more robust to temperature increase under a limited food supply than native comparators. This could further modify the impact of invaders on the local communities, with implications for ecosystem stability. </w:t>
      </w:r>
    </w:p>
    <w:p w14:paraId="02DED599" w14:textId="77777777" w:rsidR="00B33FFC" w:rsidRDefault="002F6BE4">
      <w:pPr>
        <w:spacing w:before="240" w:after="240" w:line="480" w:lineRule="auto"/>
        <w:rPr>
          <w:rFonts w:ascii="Times New Roman" w:hAnsi="Times New Roman"/>
          <w:sz w:val="24"/>
          <w:szCs w:val="24"/>
        </w:rPr>
      </w:pPr>
      <w:r>
        <w:rPr>
          <w:rFonts w:ascii="Times New Roman" w:hAnsi="Times New Roman"/>
          <w:sz w:val="24"/>
          <w:szCs w:val="24"/>
        </w:rPr>
        <w:t>Keywords: body mass scaling, foraging efficiency, growth rate, predation pressure, predator-prey interactions, temperature increase</w:t>
      </w:r>
    </w:p>
    <w:p w14:paraId="02DED59A" w14:textId="77777777" w:rsidR="00B33FFC" w:rsidRDefault="002F6BE4">
      <w:pPr>
        <w:spacing w:after="0" w:line="480" w:lineRule="auto"/>
        <w:rPr>
          <w:rFonts w:ascii="Times New Roman" w:hAnsi="Times New Roman"/>
          <w:sz w:val="24"/>
          <w:szCs w:val="24"/>
          <w:highlight w:val="white"/>
        </w:rPr>
      </w:pPr>
      <w:r>
        <w:br w:type="column"/>
      </w:r>
      <w:r>
        <w:rPr>
          <w:rFonts w:ascii="Times New Roman" w:hAnsi="Times New Roman"/>
          <w:sz w:val="24"/>
          <w:szCs w:val="24"/>
          <w:highlight w:val="white"/>
        </w:rPr>
        <w:lastRenderedPageBreak/>
        <w:t>Introduction</w:t>
      </w:r>
    </w:p>
    <w:p w14:paraId="02DED59B" w14:textId="77777777" w:rsidR="00B33FFC" w:rsidRDefault="002F6BE4">
      <w:pPr>
        <w:spacing w:before="240" w:after="0" w:line="480" w:lineRule="auto"/>
        <w:rPr>
          <w:rFonts w:ascii="Times New Roman" w:hAnsi="Times New Roman"/>
          <w:sz w:val="24"/>
          <w:szCs w:val="24"/>
          <w:highlight w:val="white"/>
        </w:rPr>
      </w:pPr>
      <w:r>
        <w:rPr>
          <w:rFonts w:ascii="Times New Roman" w:hAnsi="Times New Roman"/>
          <w:sz w:val="24"/>
          <w:szCs w:val="24"/>
          <w:highlight w:val="white"/>
        </w:rPr>
        <w:t xml:space="preserve">Global warming is a pervasive symptom of anthropogenic climate change which threatens ecological and socio-economic sustainability (Patil et al. 2021). It affects ecosystems worldwide via genetic or plastic alterations, involving range shifts, phenology and/or morphology (Parmesan and Yohe 2003, Root et al. 2003). Ectothermic species, whose metabolic rates are sensitive to environmental temperature, are particularly threatened by global warming (Clarke and Johnston 1999, Clarke and Fraser 2004). Up to an organism’s thermal optimum, an increase in temperature accelerates both metabolism (Englund et al. 2011, Kordas et al. 2011, </w:t>
      </w:r>
      <w:proofErr w:type="spellStart"/>
      <w:r>
        <w:rPr>
          <w:rFonts w:ascii="Times New Roman" w:hAnsi="Times New Roman"/>
          <w:sz w:val="24"/>
          <w:szCs w:val="24"/>
          <w:highlight w:val="white"/>
        </w:rPr>
        <w:t>Ohlberger</w:t>
      </w:r>
      <w:proofErr w:type="spellEnd"/>
      <w:r>
        <w:rPr>
          <w:rFonts w:ascii="Times New Roman" w:hAnsi="Times New Roman"/>
          <w:sz w:val="24"/>
          <w:szCs w:val="24"/>
          <w:highlight w:val="white"/>
        </w:rPr>
        <w:t xml:space="preserve"> 2013) and resource consumption, which addresses the higher energy expenditure resulting from increased metabolic costs (Volkoff and Rønnestad 2020, Yu et al. 2023). When the temperature exceeds this optimum, animals reduce costly activities including moving and food acquisition, to conserve energy resources (Sandblom et al. 2014, </w:t>
      </w:r>
      <w:proofErr w:type="spellStart"/>
      <w:r>
        <w:rPr>
          <w:rFonts w:ascii="Times New Roman" w:hAnsi="Times New Roman"/>
          <w:sz w:val="24"/>
          <w:szCs w:val="24"/>
          <w:highlight w:val="white"/>
        </w:rPr>
        <w:t>Jutfelt</w:t>
      </w:r>
      <w:proofErr w:type="spellEnd"/>
      <w:r>
        <w:rPr>
          <w:rFonts w:ascii="Times New Roman" w:hAnsi="Times New Roman"/>
          <w:sz w:val="24"/>
          <w:szCs w:val="24"/>
          <w:highlight w:val="white"/>
        </w:rPr>
        <w:t xml:space="preserve"> et al. 2021). Therefore, global warming exerts a profound influence on the structure, dynamics and stability of communities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Nevertheless, our mechanistic understanding of the effect of warming on trophic interactions is limited, particularly in the context of interactions within novel ecological communities following biological invasion or size-dependent thermal sensitivity of consumers.</w:t>
      </w:r>
    </w:p>
    <w:p w14:paraId="02DED59C" w14:textId="77777777" w:rsidR="00B33FFC" w:rsidRDefault="002F6BE4">
      <w:pPr>
        <w:spacing w:after="0" w:line="480" w:lineRule="auto"/>
        <w:ind w:firstLine="700"/>
        <w:rPr>
          <w:rFonts w:ascii="Times New Roman" w:hAnsi="Times New Roman"/>
          <w:sz w:val="24"/>
          <w:szCs w:val="24"/>
          <w:highlight w:val="white"/>
        </w:rPr>
      </w:pPr>
      <w:r>
        <w:rPr>
          <w:rFonts w:ascii="Times New Roman" w:hAnsi="Times New Roman"/>
          <w:sz w:val="24"/>
          <w:szCs w:val="24"/>
          <w:highlight w:val="white"/>
        </w:rPr>
        <w:t>Ongoing global warming may facilitate the establishment of invasive species, particularly from regions warmer than recipient ecosystems (Walther et al. 2009, Huang et al. 2011). As a consequence of the interaction between warming and biological invasion, non-native predators increasingly play a major role in affecting native prey communities (</w:t>
      </w:r>
      <w:proofErr w:type="spellStart"/>
      <w:r>
        <w:rPr>
          <w:rFonts w:ascii="Times New Roman" w:hAnsi="Times New Roman"/>
          <w:sz w:val="24"/>
          <w:szCs w:val="24"/>
          <w:highlight w:val="white"/>
        </w:rPr>
        <w:t>Iacarella</w:t>
      </w:r>
      <w:proofErr w:type="spellEnd"/>
      <w:r>
        <w:rPr>
          <w:rFonts w:ascii="Times New Roman" w:hAnsi="Times New Roman"/>
          <w:sz w:val="24"/>
          <w:szCs w:val="24"/>
          <w:highlight w:val="white"/>
        </w:rPr>
        <w:t xml:space="preserve"> et al. 2015). These effects can be particularly acute in freshwater ecosystems, which are highly vulnerable to the aforementioned biodiversity threats (Palmer and Räisänen 2002, Leuven et al. 2011, </w:t>
      </w:r>
      <w:proofErr w:type="spellStart"/>
      <w:r>
        <w:rPr>
          <w:rFonts w:ascii="Times New Roman" w:hAnsi="Times New Roman"/>
          <w:sz w:val="24"/>
          <w:szCs w:val="24"/>
          <w:highlight w:val="white"/>
        </w:rPr>
        <w:t>Haubrock</w:t>
      </w:r>
      <w:proofErr w:type="spellEnd"/>
      <w:r>
        <w:rPr>
          <w:rFonts w:ascii="Times New Roman" w:hAnsi="Times New Roman"/>
          <w:sz w:val="24"/>
          <w:szCs w:val="24"/>
          <w:highlight w:val="white"/>
        </w:rPr>
        <w:t xml:space="preserve"> et al. 2021, Sayer et al. 2025), due to their </w:t>
      </w:r>
      <w:r>
        <w:rPr>
          <w:rFonts w:ascii="Times New Roman" w:hAnsi="Times New Roman"/>
          <w:sz w:val="24"/>
          <w:szCs w:val="24"/>
          <w:highlight w:val="white"/>
        </w:rPr>
        <w:lastRenderedPageBreak/>
        <w:t>high species richness, management challenges, and pervading multiple stressor effects. For example, rising air temperature modifies precipitation, affecting two key habitat factors in surface freshwaters: water temperature and flow regimes (</w:t>
      </w:r>
      <w:proofErr w:type="spellStart"/>
      <w:r>
        <w:rPr>
          <w:rFonts w:ascii="Times New Roman" w:hAnsi="Times New Roman"/>
          <w:sz w:val="24"/>
          <w:szCs w:val="24"/>
          <w:highlight w:val="white"/>
        </w:rPr>
        <w:t>Knouft</w:t>
      </w:r>
      <w:proofErr w:type="spellEnd"/>
      <w:r>
        <w:rPr>
          <w:rFonts w:ascii="Times New Roman" w:hAnsi="Times New Roman"/>
          <w:sz w:val="24"/>
          <w:szCs w:val="24"/>
          <w:highlight w:val="white"/>
        </w:rPr>
        <w:t xml:space="preserve"> and Ficklin 2017). Moreover, the insular nature of freshwater ecosystems limits the abilities of aquatic animals’ to move to cooler refuges (Dudgeon et al. 2006), and profound size-structuring across trophic levels makes freshwater communities vulnerable to temperature-induced body size ratio shifts with warming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The high level of human impact on freshwater ecosystems (e.g. catchment area and flow modifications, introduction of pollutants, and tourism) makes them further susceptible to invasive species introduction and establishment (Dudgeon 2006, Nunes et al. 2015, Raab et al. 2018). </w:t>
      </w:r>
    </w:p>
    <w:p w14:paraId="02DED59D" w14:textId="77777777" w:rsidR="00B33FFC" w:rsidRDefault="002F6BE4">
      <w:pPr>
        <w:spacing w:after="0" w:line="480" w:lineRule="auto"/>
        <w:ind w:firstLine="700"/>
        <w:rPr>
          <w:rFonts w:ascii="Times New Roman" w:hAnsi="Times New Roman"/>
          <w:sz w:val="24"/>
          <w:szCs w:val="24"/>
          <w:highlight w:val="white"/>
        </w:rPr>
      </w:pPr>
      <w:r>
        <w:rPr>
          <w:rFonts w:ascii="Times New Roman" w:hAnsi="Times New Roman"/>
          <w:sz w:val="24"/>
          <w:szCs w:val="24"/>
          <w:highlight w:val="white"/>
        </w:rPr>
        <w:t xml:space="preserve">With anthropogenic global warming and biological invasions, the functional response approach is commonly used to investigate the effects of temperature and predator’s origin on consumer’s foraging efficiency (Dick et al. 2017, </w:t>
      </w:r>
      <w:proofErr w:type="spellStart"/>
      <w:r>
        <w:rPr>
          <w:rFonts w:ascii="Times New Roman" w:hAnsi="Times New Roman"/>
          <w:sz w:val="24"/>
          <w:szCs w:val="24"/>
          <w:highlight w:val="white"/>
        </w:rPr>
        <w:t>Uiterwaal</w:t>
      </w:r>
      <w:proofErr w:type="spellEnd"/>
      <w:r>
        <w:rPr>
          <w:rFonts w:ascii="Times New Roman" w:hAnsi="Times New Roman"/>
          <w:sz w:val="24"/>
          <w:szCs w:val="24"/>
          <w:highlight w:val="white"/>
        </w:rPr>
        <w:t xml:space="preserve"> and DeLong 2020, Faria et al. 2023, 2025). It describes the relationship between the consumer foraging rate and resource density, and provides information to link consumer-resources interaction with community dynamics and its stability (Holling 1959a, 1959b). Therefore, variations in functional response induced by external and internal factors may explain their effects on food web structure. However, there are substantial limitations in understanding how temperature interacts with other factors in shaping consumer-resource dynamics. A key consumer characteristic interacting with temperature is body mass. Many studies have shown that a consumer's functional response can be size-dependent (e.g. Vucic-</w:t>
      </w:r>
      <w:proofErr w:type="spellStart"/>
      <w:r>
        <w:rPr>
          <w:rFonts w:ascii="Times New Roman" w:hAnsi="Times New Roman"/>
          <w:sz w:val="24"/>
          <w:szCs w:val="24"/>
          <w:highlight w:val="white"/>
        </w:rPr>
        <w:t>Pestic</w:t>
      </w:r>
      <w:proofErr w:type="spellEnd"/>
      <w:r>
        <w:rPr>
          <w:rFonts w:ascii="Times New Roman" w:hAnsi="Times New Roman"/>
          <w:sz w:val="24"/>
          <w:szCs w:val="24"/>
          <w:highlight w:val="white"/>
        </w:rPr>
        <w:t xml:space="preserve"> et al. 2010, </w:t>
      </w:r>
      <w:proofErr w:type="spellStart"/>
      <w:r>
        <w:rPr>
          <w:rFonts w:ascii="Times New Roman" w:hAnsi="Times New Roman"/>
          <w:sz w:val="24"/>
          <w:szCs w:val="24"/>
          <w:highlight w:val="white"/>
        </w:rPr>
        <w:t>Kalinkat</w:t>
      </w:r>
      <w:proofErr w:type="spellEnd"/>
      <w:r>
        <w:rPr>
          <w:rFonts w:ascii="Times New Roman" w:hAnsi="Times New Roman"/>
          <w:sz w:val="24"/>
          <w:szCs w:val="24"/>
          <w:highlight w:val="white"/>
        </w:rPr>
        <w:t xml:space="preserve"> et al. 2013, Cuthbert et al. 2020,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This is generally attributed to higher feeding efficiency and heightened metabolic demands exhibited by larger individuals, which in turn peaks unimodally at intermediate predator-prey body size ratios (Cuthbert et al. 2020). However, as temperatures rise, large individuals are also at </w:t>
      </w:r>
      <w:r>
        <w:rPr>
          <w:rFonts w:ascii="Times New Roman" w:hAnsi="Times New Roman"/>
          <w:sz w:val="24"/>
          <w:szCs w:val="24"/>
          <w:highlight w:val="white"/>
        </w:rPr>
        <w:lastRenderedPageBreak/>
        <w:t>greater risk of losing their aerobic capacity. The aerobic scope serves as a proxy for an animal’s ability to increase its metabolic rate above the maintenance level (Halsey et al. 2018) which provides energy for various activities, e.g. feeding. Thus, the effect of warming on functional responses may differ along a gradient of consumer body mass. Modification in feeding performance induced by temperature increase may further interact with prey characteristics (e.g. body shape, size, mobility, density). However, there is limited understanding of how the combined effects of elevated temperature, predator size and prey characteristics affect the foraging efficiency and further growth of organisms, and potentially modify the performance between non-native and native species in freshwater ecosystems. These interactions require characterisation to improve predictions of the impacts of temperature increase on freshwater communities in a global change framework.</w:t>
      </w:r>
    </w:p>
    <w:p w14:paraId="02DED59E" w14:textId="331C4542" w:rsidR="00B33FFC" w:rsidRDefault="002F6BE4">
      <w:pPr>
        <w:spacing w:after="0" w:line="480" w:lineRule="auto"/>
        <w:ind w:firstLine="700"/>
        <w:rPr>
          <w:rFonts w:ascii="Times New Roman" w:hAnsi="Times New Roman"/>
          <w:sz w:val="24"/>
          <w:szCs w:val="24"/>
          <w:highlight w:val="white"/>
        </w:rPr>
      </w:pPr>
      <w:r>
        <w:rPr>
          <w:rFonts w:ascii="Times New Roman" w:hAnsi="Times New Roman"/>
          <w:sz w:val="24"/>
          <w:szCs w:val="24"/>
          <w:highlight w:val="white"/>
        </w:rPr>
        <w:t>To fill this gap, we used a Ponto-Caspian fish, the racer goby (</w:t>
      </w:r>
      <w:r>
        <w:rPr>
          <w:rFonts w:ascii="Times New Roman" w:hAnsi="Times New Roman"/>
          <w:i/>
          <w:sz w:val="24"/>
          <w:szCs w:val="24"/>
          <w:highlight w:val="white"/>
        </w:rPr>
        <w:t xml:space="preserve">Babka </w:t>
      </w:r>
      <w:proofErr w:type="spellStart"/>
      <w:r>
        <w:rPr>
          <w:rFonts w:ascii="Times New Roman" w:hAnsi="Times New Roman"/>
          <w:i/>
          <w:sz w:val="24"/>
          <w:szCs w:val="24"/>
          <w:highlight w:val="white"/>
        </w:rPr>
        <w:t>gymnotrachelus</w:t>
      </w:r>
      <w:proofErr w:type="spellEnd"/>
      <w:r>
        <w:rPr>
          <w:rFonts w:ascii="Times New Roman" w:hAnsi="Times New Roman"/>
          <w:i/>
          <w:sz w:val="24"/>
          <w:szCs w:val="24"/>
          <w:highlight w:val="white"/>
        </w:rPr>
        <w:t xml:space="preserve">, </w:t>
      </w:r>
      <w:r>
        <w:rPr>
          <w:rFonts w:ascii="Times New Roman" w:hAnsi="Times New Roman"/>
          <w:sz w:val="24"/>
          <w:szCs w:val="24"/>
          <w:highlight w:val="white"/>
        </w:rPr>
        <w:t>Kessler, 1857) as a representative, successful invasive fish species, spreading through the major European river systems (Grabowska et al. 2023). The Ponto-Caspian region is a major donor for invasions of European freshwaters, especially by fish and macroinvertebrates (Cuthbert et al. 2022). Due to their high tolerance to wide ranges of several environmental factors, including temperature, Ponto-Caspian invaders are characterized by a high rate of invasion success that would be expected based on introduction pressures (</w:t>
      </w:r>
      <w:proofErr w:type="spellStart"/>
      <w:r>
        <w:rPr>
          <w:rFonts w:ascii="Times New Roman" w:hAnsi="Times New Roman"/>
          <w:sz w:val="24"/>
          <w:szCs w:val="24"/>
          <w:highlight w:val="white"/>
        </w:rPr>
        <w:t>Casties</w:t>
      </w:r>
      <w:proofErr w:type="spellEnd"/>
      <w:r>
        <w:rPr>
          <w:rFonts w:ascii="Times New Roman" w:hAnsi="Times New Roman"/>
          <w:sz w:val="24"/>
          <w:szCs w:val="24"/>
          <w:highlight w:val="white"/>
        </w:rPr>
        <w:t xml:space="preserve"> et al 2016, Soto et al. 2023). We compared the foraging efficiency and further growth of the invasive racer goby with the European bullhead (</w:t>
      </w:r>
      <w:r>
        <w:rPr>
          <w:rFonts w:ascii="Times New Roman" w:hAnsi="Times New Roman"/>
          <w:i/>
          <w:sz w:val="24"/>
          <w:szCs w:val="24"/>
          <w:highlight w:val="white"/>
        </w:rPr>
        <w:t>Cottus gobio</w:t>
      </w:r>
      <w:r>
        <w:rPr>
          <w:rFonts w:ascii="Times New Roman" w:hAnsi="Times New Roman"/>
          <w:sz w:val="24"/>
          <w:szCs w:val="24"/>
          <w:highlight w:val="white"/>
        </w:rPr>
        <w:t>, Linnaeus, 1758), a species native to Central Europe, coexisting with the invader in the wild (</w:t>
      </w:r>
      <w:proofErr w:type="spellStart"/>
      <w:r>
        <w:rPr>
          <w:rFonts w:ascii="Times New Roman" w:hAnsi="Times New Roman"/>
          <w:sz w:val="24"/>
          <w:szCs w:val="24"/>
        </w:rPr>
        <w:t>Kakareko</w:t>
      </w:r>
      <w:proofErr w:type="spellEnd"/>
      <w:r>
        <w:rPr>
          <w:rFonts w:ascii="Times New Roman" w:hAnsi="Times New Roman"/>
          <w:sz w:val="24"/>
          <w:szCs w:val="24"/>
        </w:rPr>
        <w:t xml:space="preserve"> et al. 2016. Janáč et al. 2018). </w:t>
      </w:r>
      <w:r>
        <w:rPr>
          <w:rFonts w:ascii="Times New Roman" w:hAnsi="Times New Roman"/>
          <w:sz w:val="24"/>
          <w:szCs w:val="24"/>
          <w:highlight w:val="white"/>
        </w:rPr>
        <w:t>We assessed two current and future temperatures (15</w:t>
      </w:r>
      <w:r>
        <w:rPr>
          <w:rFonts w:ascii="Times New Roman" w:hAnsi="Times New Roman"/>
          <w:sz w:val="24"/>
          <w:szCs w:val="24"/>
          <w:highlight w:val="white"/>
          <w:vertAlign w:val="superscript"/>
        </w:rPr>
        <w:t>o</w:t>
      </w:r>
      <w:r>
        <w:rPr>
          <w:rFonts w:ascii="Times New Roman" w:hAnsi="Times New Roman"/>
          <w:sz w:val="24"/>
          <w:szCs w:val="24"/>
          <w:highlight w:val="white"/>
        </w:rPr>
        <w:t>C, ambient vs 23</w:t>
      </w:r>
      <w:r>
        <w:rPr>
          <w:rFonts w:ascii="Times New Roman" w:hAnsi="Times New Roman"/>
          <w:sz w:val="24"/>
          <w:szCs w:val="24"/>
          <w:highlight w:val="white"/>
          <w:vertAlign w:val="superscript"/>
        </w:rPr>
        <w:t>o</w:t>
      </w:r>
      <w:r>
        <w:rPr>
          <w:rFonts w:ascii="Times New Roman" w:hAnsi="Times New Roman"/>
          <w:sz w:val="24"/>
          <w:szCs w:val="24"/>
          <w:highlight w:val="white"/>
        </w:rPr>
        <w:t xml:space="preserve">C, elevated) and feeding experiments towards multiple prey types. We hypothesised that the effect of warming on the foraging efficiency would differ between the native and invasive species due to different thermal evolutionary </w:t>
      </w:r>
      <w:r>
        <w:rPr>
          <w:rFonts w:ascii="Times New Roman" w:hAnsi="Times New Roman"/>
          <w:sz w:val="24"/>
          <w:szCs w:val="24"/>
          <w:highlight w:val="white"/>
        </w:rPr>
        <w:lastRenderedPageBreak/>
        <w:t>histories. We also hypothesise that this will be further mediated by consumers’ size, due to higher thermal sensitivity of larger individuals. Lastly, we hypothesise that feeding rates will depend on prey type (active vs inactive) due to shifts in predator encounter rates. We overall expect that warming will increase the foraging efficiency of the invasive species while decreasing that of the native counterpart, which result in reduced growth of the native species with warming in contrast to that of the invader.</w:t>
      </w:r>
    </w:p>
    <w:p w14:paraId="02DED59F" w14:textId="77777777" w:rsidR="00B33FFC" w:rsidRDefault="002F6BE4">
      <w:pPr>
        <w:spacing w:before="240" w:line="480" w:lineRule="auto"/>
        <w:rPr>
          <w:rFonts w:ascii="Times New Roman" w:hAnsi="Times New Roman"/>
          <w:sz w:val="24"/>
          <w:szCs w:val="24"/>
          <w:highlight w:val="white"/>
        </w:rPr>
      </w:pPr>
      <w:r>
        <w:rPr>
          <w:rFonts w:ascii="Times New Roman" w:hAnsi="Times New Roman"/>
          <w:sz w:val="24"/>
          <w:szCs w:val="24"/>
          <w:highlight w:val="white"/>
        </w:rPr>
        <w:t>Methods</w:t>
      </w:r>
    </w:p>
    <w:p w14:paraId="02DED5A0" w14:textId="77777777" w:rsidR="00B33FFC" w:rsidRDefault="002F6BE4">
      <w:pPr>
        <w:spacing w:line="480" w:lineRule="auto"/>
        <w:rPr>
          <w:rFonts w:ascii="Times New Roman" w:hAnsi="Times New Roman"/>
          <w:i/>
          <w:sz w:val="24"/>
          <w:szCs w:val="24"/>
          <w:highlight w:val="white"/>
        </w:rPr>
      </w:pPr>
      <w:r>
        <w:rPr>
          <w:rFonts w:ascii="Times New Roman" w:hAnsi="Times New Roman"/>
          <w:i/>
          <w:sz w:val="24"/>
          <w:szCs w:val="24"/>
          <w:highlight w:val="white"/>
        </w:rPr>
        <w:t>Animals</w:t>
      </w:r>
    </w:p>
    <w:p w14:paraId="02DED5A1" w14:textId="77777777" w:rsidR="00B33FFC" w:rsidRDefault="002F6BE4">
      <w:pPr>
        <w:spacing w:after="0" w:line="480" w:lineRule="auto"/>
        <w:rPr>
          <w:rFonts w:ascii="Times New Roman" w:hAnsi="Times New Roman"/>
          <w:sz w:val="24"/>
          <w:szCs w:val="24"/>
        </w:rPr>
      </w:pPr>
      <w:r>
        <w:rPr>
          <w:rFonts w:ascii="Times New Roman" w:hAnsi="Times New Roman"/>
          <w:sz w:val="24"/>
          <w:szCs w:val="24"/>
          <w:highlight w:val="white"/>
        </w:rPr>
        <w:t xml:space="preserve">We used the invasive racer goby </w:t>
      </w:r>
      <w:r>
        <w:rPr>
          <w:rFonts w:ascii="Times New Roman" w:hAnsi="Times New Roman"/>
          <w:sz w:val="24"/>
          <w:szCs w:val="24"/>
        </w:rPr>
        <w:t xml:space="preserve">and the native </w:t>
      </w:r>
      <w:r>
        <w:rPr>
          <w:rFonts w:ascii="Times New Roman" w:hAnsi="Times New Roman"/>
          <w:sz w:val="24"/>
          <w:szCs w:val="24"/>
          <w:highlight w:val="white"/>
        </w:rPr>
        <w:t xml:space="preserve">European bullhead </w:t>
      </w:r>
      <w:r>
        <w:rPr>
          <w:rFonts w:ascii="Times New Roman" w:hAnsi="Times New Roman"/>
          <w:sz w:val="24"/>
          <w:szCs w:val="24"/>
        </w:rPr>
        <w:t>as model organisms. Both species are shelter-associated bottom dwellers, with burst-and-hold swimming mode, feeding on variety of macroinvertebrates (mostly insects, crustaceans) and co-existing in habitats with rocky and gravelly substrates (</w:t>
      </w:r>
      <w:proofErr w:type="spellStart"/>
      <w:r>
        <w:rPr>
          <w:rFonts w:ascii="Times New Roman" w:hAnsi="Times New Roman"/>
          <w:sz w:val="24"/>
          <w:szCs w:val="24"/>
        </w:rPr>
        <w:t>Kottelat</w:t>
      </w:r>
      <w:proofErr w:type="spellEnd"/>
      <w:r>
        <w:rPr>
          <w:rFonts w:ascii="Times New Roman" w:hAnsi="Times New Roman"/>
          <w:sz w:val="24"/>
          <w:szCs w:val="24"/>
        </w:rPr>
        <w:t xml:space="preserve"> and </w:t>
      </w:r>
      <w:proofErr w:type="spellStart"/>
      <w:r>
        <w:rPr>
          <w:rFonts w:ascii="Times New Roman" w:hAnsi="Times New Roman"/>
          <w:sz w:val="24"/>
          <w:szCs w:val="24"/>
        </w:rPr>
        <w:t>Freyhof</w:t>
      </w:r>
      <w:proofErr w:type="spellEnd"/>
      <w:r>
        <w:rPr>
          <w:rFonts w:ascii="Times New Roman" w:hAnsi="Times New Roman"/>
          <w:sz w:val="24"/>
          <w:szCs w:val="24"/>
        </w:rPr>
        <w:t xml:space="preserve"> 2007, </w:t>
      </w:r>
      <w:proofErr w:type="spellStart"/>
      <w:r>
        <w:rPr>
          <w:rFonts w:ascii="Times New Roman" w:hAnsi="Times New Roman"/>
          <w:sz w:val="24"/>
          <w:szCs w:val="24"/>
        </w:rPr>
        <w:t>Kakareko</w:t>
      </w:r>
      <w:proofErr w:type="spellEnd"/>
      <w:r>
        <w:rPr>
          <w:rFonts w:ascii="Times New Roman" w:hAnsi="Times New Roman"/>
          <w:sz w:val="24"/>
          <w:szCs w:val="24"/>
        </w:rPr>
        <w:t xml:space="preserve"> et al. 2016, Janáč et al. 2018, </w:t>
      </w:r>
      <w:proofErr w:type="spellStart"/>
      <w:r>
        <w:rPr>
          <w:rFonts w:ascii="Times New Roman" w:hAnsi="Times New Roman"/>
          <w:sz w:val="24"/>
          <w:szCs w:val="24"/>
        </w:rPr>
        <w:t>Teletchea</w:t>
      </w:r>
      <w:proofErr w:type="spellEnd"/>
      <w:r>
        <w:rPr>
          <w:rFonts w:ascii="Times New Roman" w:hAnsi="Times New Roman"/>
          <w:sz w:val="24"/>
          <w:szCs w:val="24"/>
        </w:rPr>
        <w:t xml:space="preserve"> and Beisel 2018, </w:t>
      </w:r>
      <w:proofErr w:type="spellStart"/>
      <w:r>
        <w:rPr>
          <w:rFonts w:ascii="Times New Roman" w:hAnsi="Times New Roman"/>
          <w:sz w:val="24"/>
          <w:szCs w:val="24"/>
        </w:rPr>
        <w:t>Płąchocki</w:t>
      </w:r>
      <w:proofErr w:type="spellEnd"/>
      <w:r>
        <w:rPr>
          <w:rFonts w:ascii="Times New Roman" w:hAnsi="Times New Roman"/>
          <w:sz w:val="24"/>
          <w:szCs w:val="24"/>
        </w:rPr>
        <w:t xml:space="preserve"> et al. 2020). Fish were collected in the summer (June) of 2024, from the Brda River (central Poland, 53°08'52.5"N 17°58'10.5"E) by diving, using an aquarium net. The fish were kept in the laboratory in single species 120-l stock tanks, with a maximum density of 20 individuals per tank, and divided according to the experimental temperatures (i.e., two groups per species). Tanks were filled with conditioned tap water (mean ± SD: temperature 19.1 ± 0.4, pH 8.1 ± 0.2, electrical conductivity 621 ± 23 µS/cm, oxygen level 8.2 ± 0.5 mg/l; measured with a Multi 340i Meter, WTW, </w:t>
      </w:r>
      <w:proofErr w:type="spellStart"/>
      <w:r>
        <w:rPr>
          <w:rFonts w:ascii="Times New Roman" w:hAnsi="Times New Roman"/>
          <w:sz w:val="24"/>
          <w:szCs w:val="24"/>
        </w:rPr>
        <w:t>Weilheim</w:t>
      </w:r>
      <w:proofErr w:type="spellEnd"/>
      <w:r>
        <w:rPr>
          <w:rFonts w:ascii="Times New Roman" w:hAnsi="Times New Roman"/>
          <w:sz w:val="24"/>
          <w:szCs w:val="24"/>
        </w:rPr>
        <w:t>, Germany). The fish were acclimated to temperature treatments by gradually increasing or decreasing water temperature by 1</w:t>
      </w:r>
      <w:r>
        <w:rPr>
          <w:rFonts w:ascii="Times New Roman" w:hAnsi="Times New Roman"/>
          <w:sz w:val="24"/>
          <w:szCs w:val="24"/>
          <w:vertAlign w:val="superscript"/>
        </w:rPr>
        <w:t>o</w:t>
      </w:r>
      <w:r>
        <w:rPr>
          <w:rFonts w:ascii="Times New Roman" w:hAnsi="Times New Roman"/>
          <w:sz w:val="24"/>
          <w:szCs w:val="24"/>
        </w:rPr>
        <w:t xml:space="preserve">C/day. All of the stock tanks were equipped with aquarium filters, aerators and ceramic and stony shelters, with no other bottom substrate. The photoperiod was set at a 12:12h </w:t>
      </w:r>
      <w:proofErr w:type="spellStart"/>
      <w:r>
        <w:rPr>
          <w:rFonts w:ascii="Times New Roman" w:hAnsi="Times New Roman"/>
          <w:sz w:val="24"/>
          <w:szCs w:val="24"/>
        </w:rPr>
        <w:t>light:dark</w:t>
      </w:r>
      <w:proofErr w:type="spellEnd"/>
      <w:r>
        <w:rPr>
          <w:rFonts w:ascii="Times New Roman" w:hAnsi="Times New Roman"/>
          <w:sz w:val="24"/>
          <w:szCs w:val="24"/>
        </w:rPr>
        <w:t xml:space="preserve"> cycle, with lights turned on at 07:00 and off at 19:00. </w:t>
      </w:r>
    </w:p>
    <w:p w14:paraId="02DED5A2"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lastRenderedPageBreak/>
        <w:tab/>
        <w:t xml:space="preserve">We chose </w:t>
      </w:r>
      <w:r>
        <w:rPr>
          <w:rFonts w:ascii="Times New Roman" w:hAnsi="Times New Roman"/>
          <w:i/>
          <w:sz w:val="24"/>
          <w:szCs w:val="24"/>
        </w:rPr>
        <w:t xml:space="preserve">Gammarus </w:t>
      </w:r>
      <w:proofErr w:type="spellStart"/>
      <w:r>
        <w:rPr>
          <w:rFonts w:ascii="Times New Roman" w:hAnsi="Times New Roman"/>
          <w:i/>
          <w:sz w:val="24"/>
          <w:szCs w:val="24"/>
        </w:rPr>
        <w:t>jazdzewskii</w:t>
      </w:r>
      <w:proofErr w:type="spellEnd"/>
      <w:r>
        <w:rPr>
          <w:rFonts w:ascii="Times New Roman" w:hAnsi="Times New Roman"/>
          <w:sz w:val="24"/>
          <w:szCs w:val="24"/>
        </w:rPr>
        <w:t xml:space="preserve"> (Rudolph, Coleman, Mamos &amp; Grabowski, 2018) as a representative prey species, being commonly predated by the tested fish species in the wild (Mills and Mann 1983, Grabowska and Grabowski 2005). Gammarids were collected from the </w:t>
      </w:r>
      <w:proofErr w:type="spellStart"/>
      <w:r>
        <w:rPr>
          <w:rFonts w:ascii="Times New Roman" w:hAnsi="Times New Roman"/>
          <w:sz w:val="24"/>
          <w:szCs w:val="24"/>
        </w:rPr>
        <w:t>Zielona</w:t>
      </w:r>
      <w:proofErr w:type="spellEnd"/>
      <w:r>
        <w:rPr>
          <w:rFonts w:ascii="Times New Roman" w:hAnsi="Times New Roman"/>
          <w:sz w:val="24"/>
          <w:szCs w:val="24"/>
        </w:rPr>
        <w:t xml:space="preserve"> </w:t>
      </w:r>
      <w:proofErr w:type="spellStart"/>
      <w:r>
        <w:rPr>
          <w:rFonts w:ascii="Times New Roman" w:hAnsi="Times New Roman"/>
          <w:sz w:val="24"/>
          <w:szCs w:val="24"/>
        </w:rPr>
        <w:t>Struga</w:t>
      </w:r>
      <w:proofErr w:type="spellEnd"/>
      <w:r>
        <w:rPr>
          <w:rFonts w:ascii="Times New Roman" w:hAnsi="Times New Roman"/>
          <w:sz w:val="24"/>
          <w:szCs w:val="24"/>
        </w:rPr>
        <w:t>, a forest stream in central Poland (52</w:t>
      </w:r>
      <w:r>
        <w:rPr>
          <w:rFonts w:ascii="Times New Roman" w:hAnsi="Times New Roman"/>
          <w:sz w:val="24"/>
          <w:szCs w:val="24"/>
          <w:vertAlign w:val="superscript"/>
        </w:rPr>
        <w:t>o</w:t>
      </w:r>
      <w:r>
        <w:rPr>
          <w:rFonts w:ascii="Times New Roman" w:hAnsi="Times New Roman"/>
          <w:sz w:val="24"/>
          <w:szCs w:val="24"/>
        </w:rPr>
        <w:t>99'72.1"N, 18</w:t>
      </w:r>
      <w:r>
        <w:rPr>
          <w:rFonts w:ascii="Times New Roman" w:hAnsi="Times New Roman"/>
          <w:sz w:val="24"/>
          <w:szCs w:val="24"/>
          <w:vertAlign w:val="superscript"/>
        </w:rPr>
        <w:t>o</w:t>
      </w:r>
      <w:r>
        <w:rPr>
          <w:rFonts w:ascii="Times New Roman" w:hAnsi="Times New Roman"/>
          <w:sz w:val="24"/>
          <w:szCs w:val="24"/>
        </w:rPr>
        <w:t xml:space="preserve">45'04.7"E), with a hand net, in June and July 2024. The prey individuals were kept in the laboratory in 60-l tanks equipped with aquarium filters, aerators, and woody debris from the collection site, and filled with conditioned tap water at 18.5 ± 0.5 </w:t>
      </w:r>
      <w:proofErr w:type="spellStart"/>
      <w:r>
        <w:rPr>
          <w:rFonts w:ascii="Times New Roman" w:hAnsi="Times New Roman"/>
          <w:sz w:val="24"/>
          <w:szCs w:val="24"/>
          <w:vertAlign w:val="superscript"/>
        </w:rPr>
        <w:t>o</w:t>
      </w:r>
      <w:r>
        <w:rPr>
          <w:rFonts w:ascii="Times New Roman" w:hAnsi="Times New Roman"/>
          <w:sz w:val="24"/>
          <w:szCs w:val="24"/>
        </w:rPr>
        <w:t>C.</w:t>
      </w:r>
      <w:proofErr w:type="spellEnd"/>
      <w:r>
        <w:rPr>
          <w:rFonts w:ascii="Times New Roman" w:hAnsi="Times New Roman"/>
          <w:sz w:val="24"/>
          <w:szCs w:val="24"/>
        </w:rPr>
        <w:t xml:space="preserve"> The gammarids were acclimated to the experimental temperatures in the same manner as the test fish.</w:t>
      </w:r>
    </w:p>
    <w:p w14:paraId="02DED5A3"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tab/>
        <w:t xml:space="preserve">All animals had 2 weeks to acclimate to experimental temperatures before use. The fish were fed daily </w:t>
      </w:r>
      <w:r>
        <w:rPr>
          <w:rFonts w:ascii="Times New Roman" w:hAnsi="Times New Roman"/>
          <w:i/>
          <w:sz w:val="24"/>
          <w:szCs w:val="24"/>
        </w:rPr>
        <w:t>ad libitum</w:t>
      </w:r>
      <w:r>
        <w:rPr>
          <w:rFonts w:ascii="Times New Roman" w:hAnsi="Times New Roman"/>
          <w:sz w:val="24"/>
          <w:szCs w:val="24"/>
        </w:rPr>
        <w:t xml:space="preserve"> with frozen chironomids, and the gammarids were fed every two days with frozen chironomids and decomposing leaves. The water in the stock tanks was exchanged once a week (ca. 30% of water volume).</w:t>
      </w:r>
    </w:p>
    <w:p w14:paraId="02DED5A4" w14:textId="77777777" w:rsidR="00B33FFC" w:rsidRDefault="002F6BE4">
      <w:pPr>
        <w:spacing w:before="240" w:line="480" w:lineRule="auto"/>
        <w:rPr>
          <w:rFonts w:ascii="Times New Roman" w:hAnsi="Times New Roman"/>
          <w:i/>
          <w:sz w:val="24"/>
          <w:szCs w:val="24"/>
        </w:rPr>
      </w:pPr>
      <w:r>
        <w:rPr>
          <w:rFonts w:ascii="Times New Roman" w:hAnsi="Times New Roman"/>
          <w:i/>
          <w:sz w:val="24"/>
          <w:szCs w:val="24"/>
        </w:rPr>
        <w:t>Experimental design</w:t>
      </w:r>
    </w:p>
    <w:p w14:paraId="02DED5A5"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t>To investigate the effects of elevated temperature on fish foraging efficiency we selected two water temperatures: ambient (15</w:t>
      </w:r>
      <w:r>
        <w:rPr>
          <w:rFonts w:ascii="Times New Roman" w:hAnsi="Times New Roman"/>
          <w:sz w:val="24"/>
          <w:szCs w:val="24"/>
          <w:vertAlign w:val="superscript"/>
        </w:rPr>
        <w:t>o</w:t>
      </w:r>
      <w:r>
        <w:rPr>
          <w:rFonts w:ascii="Times New Roman" w:hAnsi="Times New Roman"/>
          <w:sz w:val="24"/>
          <w:szCs w:val="24"/>
        </w:rPr>
        <w:t>C) and elevated (23</w:t>
      </w:r>
      <w:r>
        <w:rPr>
          <w:rFonts w:ascii="Times New Roman" w:hAnsi="Times New Roman"/>
          <w:sz w:val="24"/>
          <w:szCs w:val="24"/>
          <w:vertAlign w:val="superscript"/>
        </w:rPr>
        <w:t>o</w:t>
      </w:r>
      <w:r>
        <w:rPr>
          <w:rFonts w:ascii="Times New Roman" w:hAnsi="Times New Roman"/>
          <w:sz w:val="24"/>
          <w:szCs w:val="24"/>
        </w:rPr>
        <w:t xml:space="preserve">C). The ambient temperature corresponds to the mean river water temperature between May and October in Polish rivers over the 1971-2015 period (Graf and </w:t>
      </w:r>
      <w:proofErr w:type="spellStart"/>
      <w:r>
        <w:rPr>
          <w:rFonts w:ascii="Times New Roman" w:hAnsi="Times New Roman"/>
          <w:sz w:val="24"/>
          <w:szCs w:val="24"/>
        </w:rPr>
        <w:t>Wrzesiński</w:t>
      </w:r>
      <w:proofErr w:type="spellEnd"/>
      <w:r>
        <w:rPr>
          <w:rFonts w:ascii="Times New Roman" w:hAnsi="Times New Roman"/>
          <w:sz w:val="24"/>
          <w:szCs w:val="24"/>
        </w:rPr>
        <w:t xml:space="preserve"> 2020). A temperature of 23</w:t>
      </w:r>
      <w:r>
        <w:rPr>
          <w:rFonts w:ascii="Times New Roman" w:hAnsi="Times New Roman"/>
          <w:sz w:val="24"/>
          <w:szCs w:val="24"/>
          <w:vertAlign w:val="superscript"/>
        </w:rPr>
        <w:t>o</w:t>
      </w:r>
      <w:r>
        <w:rPr>
          <w:rFonts w:ascii="Times New Roman" w:hAnsi="Times New Roman"/>
          <w:sz w:val="24"/>
          <w:szCs w:val="24"/>
        </w:rPr>
        <w:t xml:space="preserve">C, according to the </w:t>
      </w:r>
      <w:r>
        <w:rPr>
          <w:rFonts w:ascii="Times New Roman" w:hAnsi="Times New Roman"/>
          <w:sz w:val="24"/>
          <w:szCs w:val="24"/>
          <w:highlight w:val="white"/>
        </w:rPr>
        <w:t>IPCC report</w:t>
      </w:r>
      <w:r>
        <w:rPr>
          <w:rFonts w:ascii="Times New Roman" w:hAnsi="Times New Roman"/>
          <w:sz w:val="24"/>
          <w:szCs w:val="24"/>
        </w:rPr>
        <w:t xml:space="preserve"> (2023) and our model for the fish collection site (Supplementary material 1, Figure S1), is predicted to be the common mean summer water temperature in European freshwaters by the end of 2100. We used live (active) and frozen (inactive) prey individuals to assess fish foraging efficiency concerning the prey's ability to actively escape. To produce frozen prey, live gammarids were collected from holding tanks, allocated numbers of prey individuals were placed into 50 ml containers assigned to particular experimental tanks, and frozen at -80</w:t>
      </w:r>
      <w:r>
        <w:rPr>
          <w:rFonts w:ascii="Times New Roman" w:hAnsi="Times New Roman"/>
          <w:sz w:val="24"/>
          <w:szCs w:val="24"/>
          <w:vertAlign w:val="superscript"/>
        </w:rPr>
        <w:t>o</w:t>
      </w:r>
      <w:r>
        <w:rPr>
          <w:rFonts w:ascii="Times New Roman" w:hAnsi="Times New Roman"/>
          <w:sz w:val="24"/>
          <w:szCs w:val="24"/>
        </w:rPr>
        <w:t>C (Figure S2).</w:t>
      </w:r>
    </w:p>
    <w:p w14:paraId="02DED5A6" w14:textId="77777777" w:rsidR="00B33FFC" w:rsidRDefault="002F6BE4">
      <w:pPr>
        <w:spacing w:after="0" w:line="480" w:lineRule="auto"/>
        <w:ind w:firstLine="708"/>
        <w:rPr>
          <w:rFonts w:ascii="Times New Roman" w:hAnsi="Times New Roman"/>
          <w:sz w:val="24"/>
          <w:szCs w:val="24"/>
        </w:rPr>
      </w:pPr>
      <w:r>
        <w:rPr>
          <w:rFonts w:ascii="Times New Roman" w:hAnsi="Times New Roman"/>
          <w:sz w:val="24"/>
          <w:szCs w:val="24"/>
        </w:rPr>
        <w:lastRenderedPageBreak/>
        <w:t xml:space="preserve">We used opaque experimental tanks (51 x 38 x 30 cm, length x width x height) filled with 40 l of conditioned (constantly aerated for 48 h) tap water as experimental units. The bottom of each tank was covered with a 1-cm deep layer of sand, and constant aeration and water filtering were provided. Two weeks before the start of the experiment, each fish individual was weighed (to the nearest 0.1 g using </w:t>
      </w:r>
      <w:proofErr w:type="spellStart"/>
      <w:r>
        <w:rPr>
          <w:rFonts w:ascii="Times New Roman" w:hAnsi="Times New Roman"/>
          <w:sz w:val="24"/>
          <w:szCs w:val="24"/>
        </w:rPr>
        <w:t>Radwag</w:t>
      </w:r>
      <w:proofErr w:type="spellEnd"/>
      <w:r>
        <w:rPr>
          <w:rFonts w:ascii="Times New Roman" w:hAnsi="Times New Roman"/>
          <w:sz w:val="24"/>
          <w:szCs w:val="24"/>
        </w:rPr>
        <w:t xml:space="preserve"> WLC 2.X2 scale, N = 56), assigned among the temperature treatments, and placed individually in the experimental tanks (Figure S2). Each fish individual was assigned to a particular experimental tank and stayed inside throughout the experiment. The ambient temperature in the experimental tanks was maintained using air conditioning within the laboratory. To maintain the elevated water temperature, we placed half of the experimental tanks inside larger 60-l tanks (58 x 39 x 35 cm, length x width x height) filled with tap water and containing an aquarium heater with a thermostat (i.e. the heater was placed outside the experimental tank). </w:t>
      </w:r>
    </w:p>
    <w:p w14:paraId="02DED5A7" w14:textId="77777777" w:rsidR="00B33FFC" w:rsidRDefault="002F6BE4">
      <w:pPr>
        <w:spacing w:line="480" w:lineRule="auto"/>
        <w:ind w:firstLine="708"/>
        <w:rPr>
          <w:rFonts w:ascii="Times New Roman" w:hAnsi="Times New Roman"/>
          <w:sz w:val="24"/>
          <w:szCs w:val="24"/>
        </w:rPr>
      </w:pPr>
      <w:r>
        <w:rPr>
          <w:rFonts w:ascii="Times New Roman" w:hAnsi="Times New Roman"/>
          <w:sz w:val="24"/>
          <w:szCs w:val="24"/>
        </w:rPr>
        <w:t xml:space="preserve">Fish were acclimated to live gammarid prey in their respective arenas by feeding them </w:t>
      </w:r>
      <w:r>
        <w:rPr>
          <w:rFonts w:ascii="Times New Roman" w:hAnsi="Times New Roman"/>
          <w:i/>
          <w:sz w:val="24"/>
          <w:szCs w:val="24"/>
        </w:rPr>
        <w:t>ad libitum</w:t>
      </w:r>
      <w:r>
        <w:rPr>
          <w:rFonts w:ascii="Times New Roman" w:hAnsi="Times New Roman"/>
          <w:sz w:val="24"/>
          <w:szCs w:val="24"/>
        </w:rPr>
        <w:t xml:space="preserve"> for two weeks. Next, they were starved for 48h before the first experimental trial. On the test day, live gammarids were collected from the holding tanks, and allocated numbers of them were placed into 50 ml containers assigned to particular experimental tanks scheduled to receive active prey on that day. At the same time, inactive gammarids were defrosted to be used in the experimental tanks scheduled to receive inactive prey on that day (Figure S2). Then, the aeration in the experimental tanks was turned off and filters were pulled out. Each trial started between 09:00 and 10:00. The gammarids were flushed into experimental tanks by spreading them evenly over the water column. The fish had 24h (12:12h </w:t>
      </w:r>
      <w:proofErr w:type="spellStart"/>
      <w:r>
        <w:rPr>
          <w:rFonts w:ascii="Times New Roman" w:hAnsi="Times New Roman"/>
          <w:sz w:val="24"/>
          <w:szCs w:val="24"/>
        </w:rPr>
        <w:t>light:dark</w:t>
      </w:r>
      <w:proofErr w:type="spellEnd"/>
      <w:r>
        <w:rPr>
          <w:rFonts w:ascii="Times New Roman" w:hAnsi="Times New Roman"/>
          <w:sz w:val="24"/>
          <w:szCs w:val="24"/>
        </w:rPr>
        <w:t xml:space="preserve"> cycle, with light turned off at 19:00 and on at 7:00) to forage, after which the fish were removed and gammarids remaining in each experimental tank were counted. After that, the fish were starved for 24h before the next </w:t>
      </w:r>
      <w:r>
        <w:rPr>
          <w:rFonts w:ascii="Times New Roman" w:hAnsi="Times New Roman"/>
          <w:sz w:val="24"/>
          <w:szCs w:val="24"/>
        </w:rPr>
        <w:lastRenderedPageBreak/>
        <w:t>trial. Note that each fish was exposed to all prey densities by the end of the experiment, and thus had a similar overall feeding regime. Each fish was thus tested 12 times, with six densities (5, 10, 15, 20, 25 and 40 individuals) of both types of prey (active/inactive) provided in a random order. All the experimental tanks (13-16 replicates per species per temperature, see Figure S2) were set up at the same time. Tanks assigned to different fish species and water temperature treatments were randomly distributed in the laboratory. The water in the experimental tanks was exchanged once a week (ca. 30% of water volume).</w:t>
      </w:r>
    </w:p>
    <w:p w14:paraId="727D00D6" w14:textId="595CC139" w:rsidR="003B4250" w:rsidRPr="003B4250" w:rsidRDefault="003B4250" w:rsidP="003B4250">
      <w:pPr>
        <w:spacing w:after="0" w:line="480" w:lineRule="auto"/>
        <w:rPr>
          <w:rFonts w:ascii="Times New Roman" w:hAnsi="Times New Roman"/>
          <w:i/>
          <w:iCs/>
          <w:sz w:val="24"/>
          <w:szCs w:val="24"/>
        </w:rPr>
      </w:pPr>
      <w:r w:rsidRPr="003B4250">
        <w:rPr>
          <w:rFonts w:ascii="Times New Roman" w:hAnsi="Times New Roman"/>
          <w:i/>
          <w:iCs/>
          <w:sz w:val="24"/>
          <w:szCs w:val="24"/>
        </w:rPr>
        <w:t>Ethical note</w:t>
      </w:r>
    </w:p>
    <w:p w14:paraId="15F994AF" w14:textId="268C6149" w:rsidR="003B4250" w:rsidRDefault="003B4250" w:rsidP="003B4250">
      <w:pPr>
        <w:spacing w:after="0" w:line="480" w:lineRule="auto"/>
        <w:ind w:firstLine="708"/>
        <w:rPr>
          <w:rFonts w:ascii="Times New Roman" w:hAnsi="Times New Roman"/>
          <w:sz w:val="24"/>
          <w:szCs w:val="24"/>
        </w:rPr>
      </w:pPr>
      <w:r>
        <w:rPr>
          <w:rFonts w:ascii="Times New Roman" w:hAnsi="Times New Roman"/>
          <w:sz w:val="24"/>
          <w:szCs w:val="24"/>
        </w:rPr>
        <w:t xml:space="preserve">The present study adheres to the ASAB/ABS (2023) guidelines for the use of animals in research. The fish were collected and used under the permit of the Local Committee for Ethics in Animal Research in Bydgoszcz, Poland, statement no. 33/2023. The capture and use of the European bullhead, which is protected by law in Poland, was approved by the Regional Directorate for Environmental Protection in Poland (approval number: WOP.6401.4.62.2022.MO). </w:t>
      </w:r>
    </w:p>
    <w:p w14:paraId="679D8AFF" w14:textId="0622F3EC" w:rsidR="003B4250" w:rsidRPr="003B4250" w:rsidRDefault="003B4250" w:rsidP="003B4250">
      <w:pPr>
        <w:spacing w:line="480" w:lineRule="auto"/>
        <w:ind w:firstLine="708"/>
        <w:rPr>
          <w:rFonts w:ascii="Times New Roman" w:hAnsi="Times New Roman"/>
          <w:sz w:val="24"/>
          <w:szCs w:val="24"/>
        </w:rPr>
      </w:pPr>
      <w:r>
        <w:rPr>
          <w:rFonts w:ascii="Times New Roman" w:hAnsi="Times New Roman"/>
          <w:sz w:val="24"/>
          <w:szCs w:val="24"/>
        </w:rPr>
        <w:t xml:space="preserve">The housing conditions guaranteed good animal welfare. We did not notice any external signs of stress or disease (e.g., unnatural body shape, skin changes, swimming problems). After the experiments, the individuals of the European bullhead were released where they were initially caught. The individuals of the invasive racer goby were euthanized by an overdose of Tricaine </w:t>
      </w:r>
      <w:proofErr w:type="spellStart"/>
      <w:r>
        <w:rPr>
          <w:rFonts w:ascii="Times New Roman" w:hAnsi="Times New Roman"/>
          <w:sz w:val="24"/>
          <w:szCs w:val="24"/>
        </w:rPr>
        <w:t>Methanesulfonate</w:t>
      </w:r>
      <w:proofErr w:type="spellEnd"/>
      <w:r>
        <w:rPr>
          <w:rFonts w:ascii="Times New Roman" w:hAnsi="Times New Roman"/>
          <w:sz w:val="24"/>
          <w:szCs w:val="24"/>
        </w:rPr>
        <w:t xml:space="preserve"> (MS-222) and disposed of.</w:t>
      </w:r>
    </w:p>
    <w:p w14:paraId="02DED5A8" w14:textId="6BEC69A3" w:rsidR="00B33FFC" w:rsidRDefault="002F6BE4">
      <w:pPr>
        <w:spacing w:line="480" w:lineRule="auto"/>
        <w:rPr>
          <w:rFonts w:ascii="Times New Roman" w:hAnsi="Times New Roman"/>
          <w:i/>
          <w:sz w:val="24"/>
          <w:szCs w:val="24"/>
        </w:rPr>
      </w:pPr>
      <w:r>
        <w:rPr>
          <w:rFonts w:ascii="Times New Roman" w:hAnsi="Times New Roman"/>
          <w:i/>
          <w:sz w:val="24"/>
          <w:szCs w:val="24"/>
        </w:rPr>
        <w:t>Statistical analysis</w:t>
      </w:r>
    </w:p>
    <w:p w14:paraId="02DED5A9"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t xml:space="preserve">Overall body sizes before the experiment between the racer goby and the European bullhead were compared with Wilcoxon rank sum exact tests. Feeding rates (expressed as a proportion of prey killed over the initial prey density per replicate) were analysed using generalised linear mixed models (GLMM). These models followed a binomial error </w:t>
      </w:r>
      <w:r>
        <w:rPr>
          <w:rFonts w:ascii="Times New Roman" w:hAnsi="Times New Roman"/>
          <w:sz w:val="24"/>
          <w:szCs w:val="24"/>
        </w:rPr>
        <w:lastRenderedPageBreak/>
        <w:t>family, and considered proportions of killed prey as a function of species, temperature, prey type, and fish initial body mass, alongside all of their possible interactions. Initial prey density was included as a further explanatory variable. Individual fish identities were included as a random effect, because individuals were reused across prey density and prey type treatments during the experiment. This approach allowed us to capture variations in body mass regarding raw feeding rates of fish, in interaction alongside species, temperature, and prey type. Residuals were checked for overdispersion through diagnostics with simulations (Hartig 2022). Post-hoc tests were computed using estimated marginal means for significant effects (Lenth 2023).</w:t>
      </w:r>
    </w:p>
    <w:p w14:paraId="02DED5AA" w14:textId="77777777" w:rsidR="00B33FFC" w:rsidRDefault="002F6BE4">
      <w:pPr>
        <w:spacing w:line="480" w:lineRule="auto"/>
        <w:ind w:firstLine="720"/>
        <w:jc w:val="both"/>
        <w:rPr>
          <w:rFonts w:ascii="Times New Roman" w:hAnsi="Times New Roman"/>
          <w:sz w:val="24"/>
          <w:szCs w:val="24"/>
        </w:rPr>
      </w:pPr>
      <w:r>
        <w:rPr>
          <w:rFonts w:ascii="Times New Roman" w:hAnsi="Times New Roman"/>
          <w:sz w:val="24"/>
          <w:szCs w:val="24"/>
        </w:rPr>
        <w:t xml:space="preserve">Functional responses were characterised using logistic regression of the proportion of prey eaten as a function of prey density for each fish species, temperature, and prey type separately. We applied the Type II Rogers’ random predator equation </w:t>
      </w:r>
      <w:r>
        <w:rPr>
          <w:rFonts w:ascii="Times New Roman" w:hAnsi="Times New Roman"/>
          <w:color w:val="222222"/>
          <w:sz w:val="24"/>
          <w:szCs w:val="24"/>
          <w:highlight w:val="white"/>
        </w:rPr>
        <w:t xml:space="preserve">(Rogers 1972) </w:t>
      </w:r>
      <w:r>
        <w:rPr>
          <w:rFonts w:ascii="Times New Roman" w:hAnsi="Times New Roman"/>
          <w:sz w:val="24"/>
          <w:szCs w:val="24"/>
        </w:rPr>
        <w:t xml:space="preserve">to account for prey depletion during the experiments: </w:t>
      </w:r>
    </w:p>
    <w:p w14:paraId="02DED5AB" w14:textId="77777777" w:rsidR="00B33FFC" w:rsidRDefault="005B194D">
      <w:pPr>
        <w:jc w:val="center"/>
        <w:rPr>
          <w:rFonts w:ascii="Cambria Math" w:eastAsia="Cambria Math" w:hAnsi="Cambria Math" w:cs="Cambria Math"/>
        </w:rPr>
      </w:pPr>
      <m:oMathPara>
        <m:oMath>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N</m:t>
              </m:r>
            </m:e>
            <m:sub>
              <m:r>
                <w:rPr>
                  <w:rFonts w:ascii="Cambria Math" w:eastAsia="Cambria Math" w:hAnsi="Cambria Math" w:cs="Cambria Math"/>
                  <w:sz w:val="24"/>
                  <w:szCs w:val="24"/>
                </w:rPr>
                <m:t>e</m:t>
              </m:r>
            </m:sub>
          </m:sSub>
          <m:r>
            <w:rPr>
              <w:rFonts w:ascii="Cambria Math" w:eastAsia="Cambria Math" w:hAnsi="Cambria Math" w:cs="Cambria Math"/>
              <w:sz w:val="24"/>
              <w:szCs w:val="24"/>
            </w:rPr>
            <m:t>=</m:t>
          </m:r>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N</m:t>
              </m:r>
            </m:e>
            <m:sub>
              <m:r>
                <w:rPr>
                  <w:rFonts w:ascii="Cambria Math" w:eastAsia="Cambria Math" w:hAnsi="Cambria Math" w:cs="Cambria Math"/>
                  <w:sz w:val="24"/>
                  <w:szCs w:val="24"/>
                </w:rPr>
                <m:t>0</m:t>
              </m:r>
            </m:sub>
          </m:sSub>
          <m:r>
            <w:rPr>
              <w:rFonts w:ascii="Cambria Math" w:eastAsia="Cambria Math" w:hAnsi="Cambria Math" w:cs="Cambria Math"/>
              <w:sz w:val="24"/>
              <w:szCs w:val="24"/>
            </w:rPr>
            <m:t>(1-</m:t>
          </m:r>
          <m:box>
            <m:boxPr>
              <m:opEmu m:val="1"/>
              <m:ctrlPr>
                <w:rPr>
                  <w:rFonts w:ascii="Cambria Math" w:eastAsia="Cambria Math" w:hAnsi="Cambria Math" w:cs="Cambria Math"/>
                  <w:sz w:val="24"/>
                  <w:szCs w:val="24"/>
                </w:rPr>
              </m:ctrlPr>
            </m:boxPr>
            <m:e>
              <m:r>
                <w:rPr>
                  <w:rFonts w:ascii="Cambria Math" w:eastAsia="Cambria Math" w:hAnsi="Cambria Math" w:cs="Cambria Math"/>
                  <w:sz w:val="24"/>
                  <w:szCs w:val="24"/>
                </w:rPr>
                <m:t>exp</m:t>
              </m:r>
            </m:e>
          </m:box>
          <m:r>
            <w:rPr>
              <w:rFonts w:ascii="Cambria Math" w:eastAsia="Cambria Math" w:hAnsi="Cambria Math" w:cs="Cambria Math"/>
              <w:sz w:val="24"/>
              <w:szCs w:val="24"/>
            </w:rPr>
            <m:t>exp</m:t>
          </m:r>
          <m:r>
            <w:rPr>
              <w:rFonts w:ascii="Cambria Math" w:eastAsia="Cambria Math" w:hAnsi="Cambria Math" w:cs="Cambria Math"/>
            </w:rPr>
            <m:t xml:space="preserve"> </m:t>
          </m:r>
          <m:d>
            <m:dPr>
              <m:ctrlPr>
                <w:rPr>
                  <w:rFonts w:ascii="Cambria Math" w:eastAsia="Cambria Math" w:hAnsi="Cambria Math" w:cs="Cambria Math"/>
                  <w:sz w:val="24"/>
                  <w:szCs w:val="24"/>
                </w:rPr>
              </m:ctrlPr>
            </m:dPr>
            <m:e>
              <m:r>
                <w:rPr>
                  <w:rFonts w:ascii="Cambria Math" w:eastAsia="Cambria Math" w:hAnsi="Cambria Math" w:cs="Cambria Math"/>
                  <w:sz w:val="24"/>
                  <w:szCs w:val="24"/>
                </w:rPr>
                <m:t>a</m:t>
              </m:r>
              <m:d>
                <m:dPr>
                  <m:ctrlPr>
                    <w:rPr>
                      <w:rFonts w:ascii="Cambria Math" w:eastAsia="Cambria Math" w:hAnsi="Cambria Math" w:cs="Cambria Math"/>
                      <w:sz w:val="24"/>
                      <w:szCs w:val="24"/>
                    </w:rPr>
                  </m:ctrlPr>
                </m:dPr>
                <m:e>
                  <m:sSub>
                    <m:sSubPr>
                      <m:ctrlPr>
                        <w:rPr>
                          <w:rFonts w:ascii="Cambria Math" w:eastAsia="Cambria Math" w:hAnsi="Cambria Math" w:cs="Cambria Math"/>
                          <w:sz w:val="24"/>
                          <w:szCs w:val="24"/>
                        </w:rPr>
                      </m:ctrlPr>
                    </m:sSubPr>
                    <m:e>
                      <m:r>
                        <w:rPr>
                          <w:rFonts w:ascii="Cambria Math" w:eastAsia="Cambria Math" w:hAnsi="Cambria Math" w:cs="Cambria Math"/>
                          <w:sz w:val="24"/>
                          <w:szCs w:val="24"/>
                        </w:rPr>
                        <m:t>N</m:t>
                      </m:r>
                    </m:e>
                    <m:sub>
                      <m:r>
                        <w:rPr>
                          <w:rFonts w:ascii="Cambria Math" w:eastAsia="Cambria Math" w:hAnsi="Cambria Math" w:cs="Cambria Math"/>
                          <w:sz w:val="24"/>
                          <w:szCs w:val="24"/>
                        </w:rPr>
                        <m:t>e</m:t>
                      </m:r>
                    </m:sub>
                  </m:sSub>
                  <m:r>
                    <w:rPr>
                      <w:rFonts w:ascii="Cambria Math" w:eastAsia="Cambria Math" w:hAnsi="Cambria Math" w:cs="Cambria Math"/>
                      <w:sz w:val="24"/>
                      <w:szCs w:val="24"/>
                    </w:rPr>
                    <m:t>h-T)</m:t>
                  </m:r>
                </m:e>
              </m:d>
            </m:e>
          </m:d>
          <m:r>
            <w:rPr>
              <w:rFonts w:ascii="Cambria Math" w:eastAsia="Cambria Math" w:hAnsi="Cambria Math" w:cs="Cambria Math"/>
            </w:rPr>
            <m:t xml:space="preserve"> </m:t>
          </m:r>
        </m:oMath>
      </m:oMathPara>
    </w:p>
    <w:p w14:paraId="02DED5AC" w14:textId="77777777" w:rsidR="00B33FFC" w:rsidRDefault="002F6BE4">
      <w:pPr>
        <w:spacing w:line="480" w:lineRule="auto"/>
        <w:jc w:val="right"/>
        <w:rPr>
          <w:rFonts w:ascii="Times New Roman" w:hAnsi="Times New Roman"/>
          <w:sz w:val="24"/>
          <w:szCs w:val="24"/>
        </w:rPr>
      </w:pPr>
      <w:r>
        <w:rPr>
          <w:rFonts w:ascii="Times New Roman" w:hAnsi="Times New Roman"/>
          <w:sz w:val="24"/>
          <w:szCs w:val="24"/>
        </w:rPr>
        <w:t>(1)</w:t>
      </w:r>
    </w:p>
    <w:p w14:paraId="02DED5AD"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t xml:space="preserve">where </w:t>
      </w:r>
      <w:r>
        <w:rPr>
          <w:rFonts w:ascii="Times New Roman" w:hAnsi="Times New Roman"/>
          <w:i/>
          <w:sz w:val="24"/>
          <w:szCs w:val="24"/>
        </w:rPr>
        <w:t>N</w:t>
      </w:r>
      <w:r>
        <w:rPr>
          <w:rFonts w:ascii="Times New Roman" w:hAnsi="Times New Roman"/>
          <w:sz w:val="24"/>
          <w:szCs w:val="24"/>
          <w:vertAlign w:val="subscript"/>
        </w:rPr>
        <w:t>e</w:t>
      </w:r>
      <w:r>
        <w:rPr>
          <w:rFonts w:ascii="Times New Roman" w:hAnsi="Times New Roman"/>
          <w:sz w:val="24"/>
          <w:szCs w:val="24"/>
        </w:rPr>
        <w:t xml:space="preserve"> is the number of prey eaten, </w:t>
      </w:r>
      <w:r>
        <w:rPr>
          <w:rFonts w:ascii="Times New Roman" w:hAnsi="Times New Roman"/>
          <w:i/>
          <w:sz w:val="24"/>
          <w:szCs w:val="24"/>
        </w:rPr>
        <w:t>N</w:t>
      </w:r>
      <w:r>
        <w:rPr>
          <w:rFonts w:ascii="Times New Roman" w:hAnsi="Times New Roman"/>
          <w:sz w:val="24"/>
          <w:szCs w:val="24"/>
          <w:vertAlign w:val="subscript"/>
        </w:rPr>
        <w:t>0</w:t>
      </w:r>
      <w:r>
        <w:rPr>
          <w:rFonts w:ascii="Times New Roman" w:hAnsi="Times New Roman"/>
          <w:sz w:val="24"/>
          <w:szCs w:val="24"/>
        </w:rPr>
        <w:t xml:space="preserve"> the initial prey density, </w:t>
      </w:r>
      <w:r>
        <w:rPr>
          <w:rFonts w:ascii="Times New Roman" w:hAnsi="Times New Roman"/>
          <w:i/>
          <w:sz w:val="24"/>
          <w:szCs w:val="24"/>
        </w:rPr>
        <w:t>a</w:t>
      </w:r>
      <w:r>
        <w:rPr>
          <w:rFonts w:ascii="Times New Roman" w:hAnsi="Times New Roman"/>
          <w:sz w:val="24"/>
          <w:szCs w:val="24"/>
        </w:rPr>
        <w:t xml:space="preserve"> the predator attack rate (classically interpreted as the search efficiency), </w:t>
      </w:r>
      <w:r>
        <w:rPr>
          <w:rFonts w:ascii="Times New Roman" w:hAnsi="Times New Roman"/>
          <w:i/>
          <w:sz w:val="24"/>
          <w:szCs w:val="24"/>
        </w:rPr>
        <w:t>h</w:t>
      </w:r>
      <w:r>
        <w:rPr>
          <w:rFonts w:ascii="Times New Roman" w:hAnsi="Times New Roman"/>
          <w:sz w:val="24"/>
          <w:szCs w:val="24"/>
        </w:rPr>
        <w:t xml:space="preserve"> the predator handling time (defined as the time spent pursuing, subduing, and consuming each prey item plus the time spent preparing to search for the next prey item), and </w:t>
      </w:r>
      <w:r>
        <w:rPr>
          <w:rFonts w:ascii="Times New Roman" w:hAnsi="Times New Roman"/>
          <w:i/>
          <w:sz w:val="24"/>
          <w:szCs w:val="24"/>
        </w:rPr>
        <w:t>T</w:t>
      </w:r>
      <w:r>
        <w:rPr>
          <w:rFonts w:ascii="Times New Roman" w:hAnsi="Times New Roman"/>
          <w:sz w:val="24"/>
          <w:szCs w:val="24"/>
        </w:rPr>
        <w:t xml:space="preserve"> the duration of the experiment. Functional responses were compared using non-parametric bootstrapped 95% confidence intervals, with 2000 iterations per functional response curve (Pritchard 2017).</w:t>
      </w:r>
    </w:p>
    <w:p w14:paraId="02DED5AE" w14:textId="77777777" w:rsidR="00B33FFC" w:rsidRDefault="002F6BE4">
      <w:pPr>
        <w:spacing w:after="0" w:line="480" w:lineRule="auto"/>
        <w:rPr>
          <w:rFonts w:ascii="Times New Roman" w:hAnsi="Times New Roman"/>
          <w:sz w:val="24"/>
          <w:szCs w:val="24"/>
        </w:rPr>
      </w:pPr>
      <w:r>
        <w:rPr>
          <w:rFonts w:ascii="Times New Roman" w:hAnsi="Times New Roman"/>
          <w:sz w:val="24"/>
          <w:szCs w:val="24"/>
        </w:rPr>
        <w:tab/>
        <w:t xml:space="preserve">Fish growth rate was analysed using generalised linear models (GLM) with a Gaussian error family.  We log-transformed final and initial fish body mass to linearize the relationship between them. and modelled final body mass as a function of species, temperature, and initial fish body mass with all of their possible interactions. The total </w:t>
      </w:r>
      <w:r>
        <w:rPr>
          <w:rFonts w:ascii="Times New Roman" w:hAnsi="Times New Roman"/>
          <w:sz w:val="24"/>
          <w:szCs w:val="24"/>
        </w:rPr>
        <w:lastRenderedPageBreak/>
        <w:t>consumption (expressed as the total number of prey individuals eaten in all experimental trials) was included as a covariate.</w:t>
      </w:r>
    </w:p>
    <w:p w14:paraId="02DED5AF" w14:textId="77777777" w:rsidR="00B33FFC" w:rsidRDefault="002F6BE4">
      <w:pPr>
        <w:spacing w:line="480" w:lineRule="auto"/>
        <w:rPr>
          <w:rFonts w:ascii="Times New Roman" w:hAnsi="Times New Roman"/>
          <w:sz w:val="24"/>
          <w:szCs w:val="24"/>
        </w:rPr>
      </w:pPr>
      <w:r>
        <w:rPr>
          <w:rFonts w:ascii="Times New Roman" w:hAnsi="Times New Roman"/>
          <w:sz w:val="24"/>
          <w:szCs w:val="24"/>
        </w:rPr>
        <w:tab/>
        <w:t>Both GLMM and GLM were fitted with “</w:t>
      </w:r>
      <w:proofErr w:type="spellStart"/>
      <w:r>
        <w:rPr>
          <w:rFonts w:ascii="Times New Roman" w:hAnsi="Times New Roman"/>
          <w:sz w:val="24"/>
          <w:szCs w:val="24"/>
        </w:rPr>
        <w:t>glmmTMB</w:t>
      </w:r>
      <w:proofErr w:type="spellEnd"/>
      <w:r>
        <w:rPr>
          <w:rFonts w:ascii="Times New Roman" w:hAnsi="Times New Roman"/>
          <w:sz w:val="24"/>
          <w:szCs w:val="24"/>
        </w:rPr>
        <w:t xml:space="preserve">” R package (Brooks et al. 2017). Residuals were checked for overdispersion through diagnostics with residual simulations (Hartig 2022). Slopes and means </w:t>
      </w:r>
      <w:proofErr w:type="spellStart"/>
      <w:r>
        <w:rPr>
          <w:rFonts w:ascii="Times New Roman" w:hAnsi="Times New Roman"/>
          <w:sz w:val="24"/>
          <w:szCs w:val="24"/>
        </w:rPr>
        <w:t>estmates</w:t>
      </w:r>
      <w:proofErr w:type="spellEnd"/>
      <w:r>
        <w:rPr>
          <w:rFonts w:ascii="Times New Roman" w:hAnsi="Times New Roman"/>
          <w:sz w:val="24"/>
          <w:szCs w:val="24"/>
        </w:rPr>
        <w:t xml:space="preserve"> for significant interaction terms were compared using “</w:t>
      </w:r>
      <w:proofErr w:type="spellStart"/>
      <w:r>
        <w:rPr>
          <w:rFonts w:ascii="Times New Roman" w:hAnsi="Times New Roman"/>
          <w:sz w:val="24"/>
          <w:szCs w:val="24"/>
        </w:rPr>
        <w:t>emmeans</w:t>
      </w:r>
      <w:proofErr w:type="spellEnd"/>
      <w:r>
        <w:rPr>
          <w:rFonts w:ascii="Times New Roman" w:hAnsi="Times New Roman"/>
          <w:sz w:val="24"/>
          <w:szCs w:val="24"/>
        </w:rPr>
        <w:t xml:space="preserve">” package. (Lenth 2023). F  </w:t>
      </w:r>
      <w:proofErr w:type="spellStart"/>
      <w:r>
        <w:rPr>
          <w:rFonts w:ascii="Times New Roman" w:hAnsi="Times New Roman"/>
          <w:sz w:val="24"/>
          <w:szCs w:val="24"/>
        </w:rPr>
        <w:t>unctional</w:t>
      </w:r>
      <w:proofErr w:type="spellEnd"/>
      <w:r>
        <w:rPr>
          <w:rFonts w:ascii="Times New Roman" w:hAnsi="Times New Roman"/>
          <w:sz w:val="24"/>
          <w:szCs w:val="24"/>
        </w:rPr>
        <w:t xml:space="preserve"> response models were fitted with the “</w:t>
      </w:r>
      <w:proofErr w:type="spellStart"/>
      <w:r>
        <w:rPr>
          <w:rFonts w:ascii="Times New Roman" w:hAnsi="Times New Roman"/>
          <w:sz w:val="24"/>
          <w:szCs w:val="24"/>
        </w:rPr>
        <w:t>frair</w:t>
      </w:r>
      <w:proofErr w:type="spellEnd"/>
      <w:r>
        <w:rPr>
          <w:rFonts w:ascii="Times New Roman" w:hAnsi="Times New Roman"/>
          <w:sz w:val="24"/>
          <w:szCs w:val="24"/>
        </w:rPr>
        <w:t xml:space="preserve">” R package (Pritchard 2017)All statistical analyses were performed using R 4.4.0 (R Core Team 2024). </w:t>
      </w:r>
    </w:p>
    <w:p w14:paraId="02DED5B0" w14:textId="77777777" w:rsidR="00B33FFC" w:rsidRDefault="002F6BE4">
      <w:pPr>
        <w:spacing w:line="480" w:lineRule="auto"/>
        <w:rPr>
          <w:rFonts w:ascii="Times New Roman" w:hAnsi="Times New Roman"/>
          <w:sz w:val="24"/>
          <w:szCs w:val="24"/>
        </w:rPr>
      </w:pPr>
      <w:r>
        <w:rPr>
          <w:rFonts w:ascii="Times New Roman" w:hAnsi="Times New Roman"/>
          <w:sz w:val="24"/>
          <w:szCs w:val="24"/>
        </w:rPr>
        <w:t>Results</w:t>
      </w:r>
    </w:p>
    <w:p w14:paraId="02DED5B1" w14:textId="77777777" w:rsidR="00B33FFC" w:rsidRDefault="002F6BE4">
      <w:pPr>
        <w:spacing w:line="480" w:lineRule="auto"/>
        <w:rPr>
          <w:rFonts w:ascii="Times New Roman" w:hAnsi="Times New Roman"/>
          <w:sz w:val="24"/>
          <w:szCs w:val="24"/>
        </w:rPr>
      </w:pPr>
      <w:bookmarkStart w:id="2" w:name="_heading=h.30j0zll" w:colFirst="0" w:colLast="0"/>
      <w:bookmarkEnd w:id="2"/>
      <w:r>
        <w:rPr>
          <w:rFonts w:ascii="Times New Roman" w:hAnsi="Times New Roman"/>
          <w:sz w:val="24"/>
          <w:szCs w:val="24"/>
        </w:rPr>
        <w:t xml:space="preserve">European bullheads were, on average, 70% larger than racer gobies (Wilcoxon rank sum exact test: W = 573, p = 0.003; Figure S3). However, mean feeding rates across treatments were around twice as high in racer goby compared to European bullheads. Therefore, feeding rates of the invasive species were substantially higher per unit mass. Feeding rates were influenced by a suite of significant interactions among predator species, temperature, prey type, and body size (Table 1). Principally, a significant four-way interaction among species, temperature, prey type, and body size indicated complex interplays among these drivers of feeding rates (Table 1; Figures 1, 2, S4, S5). While racer gobies always consumed significantly more than European bullheads across treatments (p &lt; 0.001), their performance was particularly enhanced at the higher temperature level (Figure 2). Similarly, while active prey were always targeted significantly more than inactive prey (p &lt; 0.001), this divergence was strongest at the higher temperature, indicating that warming particularly heightened interaction strengths towards active prey (Figure S5). Differential effects of body mass on feeding rates were also pervasive among species and temperatures. While consumption generally increased with body mass, warming amplified the positive feeding response to initial body mass in racer goby (p = 0.021), but completely dampened </w:t>
      </w:r>
      <w:r>
        <w:rPr>
          <w:rFonts w:ascii="Times New Roman" w:hAnsi="Times New Roman"/>
          <w:sz w:val="24"/>
          <w:szCs w:val="24"/>
        </w:rPr>
        <w:lastRenderedPageBreak/>
        <w:t xml:space="preserve">the body mass effect in European bullheads (p = 0.005), for which feeding rates collapsed under the higher temperature (Figure 1). </w:t>
      </w:r>
    </w:p>
    <w:p w14:paraId="02DED5B2" w14:textId="77777777" w:rsidR="00B33FFC" w:rsidRDefault="002F6BE4">
      <w:pPr>
        <w:spacing w:line="240" w:lineRule="auto"/>
        <w:rPr>
          <w:rFonts w:ascii="Times New Roman" w:hAnsi="Times New Roman"/>
          <w:sz w:val="24"/>
          <w:szCs w:val="24"/>
        </w:rPr>
      </w:pPr>
      <w:r>
        <w:rPr>
          <w:rFonts w:ascii="Times New Roman" w:hAnsi="Times New Roman"/>
          <w:b/>
          <w:sz w:val="24"/>
          <w:szCs w:val="24"/>
        </w:rPr>
        <w:t>Table 1.</w:t>
      </w:r>
      <w:r>
        <w:rPr>
          <w:rFonts w:ascii="Times New Roman" w:hAnsi="Times New Roman"/>
          <w:sz w:val="24"/>
          <w:szCs w:val="24"/>
        </w:rPr>
        <w:t xml:space="preserve"> Binomial generalised linear mixed model with type III analysis of deviance, examining feeding rate as a function of predator species (racer goby, European bullhead), predator initial body mass, temperature (ambient, elevated), prey type (active, inactive), and prey density. Individual fish were included as a random effect. Significant terms are in bold.</w:t>
      </w:r>
    </w:p>
    <w:tbl>
      <w:tblPr>
        <w:tblStyle w:val="a"/>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2"/>
        <w:gridCol w:w="1134"/>
        <w:gridCol w:w="992"/>
        <w:gridCol w:w="1276"/>
      </w:tblGrid>
      <w:tr w:rsidR="00B33FFC" w14:paraId="02DED5B7" w14:textId="77777777">
        <w:tc>
          <w:tcPr>
            <w:tcW w:w="5382" w:type="dxa"/>
          </w:tcPr>
          <w:p w14:paraId="02DED5B3"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Term</w:t>
            </w:r>
          </w:p>
        </w:tc>
        <w:tc>
          <w:tcPr>
            <w:tcW w:w="1134" w:type="dxa"/>
          </w:tcPr>
          <w:p w14:paraId="02DED5B4"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Chisq</w:t>
            </w:r>
            <w:proofErr w:type="spellEnd"/>
          </w:p>
        </w:tc>
        <w:tc>
          <w:tcPr>
            <w:tcW w:w="992" w:type="dxa"/>
          </w:tcPr>
          <w:p w14:paraId="02DED5B5" w14:textId="77777777" w:rsidR="00B33FFC" w:rsidRDefault="002F6BE4">
            <w:pPr>
              <w:spacing w:after="0" w:line="240" w:lineRule="auto"/>
              <w:ind w:right="-58"/>
              <w:rPr>
                <w:rFonts w:ascii="Times New Roman" w:hAnsi="Times New Roman"/>
                <w:b/>
                <w:sz w:val="24"/>
                <w:szCs w:val="24"/>
              </w:rPr>
            </w:pPr>
            <w:proofErr w:type="spellStart"/>
            <w:r>
              <w:rPr>
                <w:rFonts w:ascii="Times New Roman" w:hAnsi="Times New Roman"/>
                <w:b/>
                <w:sz w:val="24"/>
                <w:szCs w:val="24"/>
              </w:rPr>
              <w:t>df</w:t>
            </w:r>
            <w:proofErr w:type="spellEnd"/>
          </w:p>
        </w:tc>
        <w:tc>
          <w:tcPr>
            <w:tcW w:w="1276" w:type="dxa"/>
          </w:tcPr>
          <w:p w14:paraId="02DED5B6"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p-value</w:t>
            </w:r>
          </w:p>
        </w:tc>
      </w:tr>
      <w:tr w:rsidR="00B33FFC" w14:paraId="02DED5BC" w14:textId="77777777">
        <w:tc>
          <w:tcPr>
            <w:tcW w:w="5382" w:type="dxa"/>
          </w:tcPr>
          <w:p w14:paraId="02DED5B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Species</w:t>
            </w:r>
          </w:p>
        </w:tc>
        <w:tc>
          <w:tcPr>
            <w:tcW w:w="1134" w:type="dxa"/>
          </w:tcPr>
          <w:p w14:paraId="02DED5B9" w14:textId="77777777" w:rsidR="00B33FFC" w:rsidRDefault="002F6BE4">
            <w:pPr>
              <w:spacing w:after="0" w:line="240" w:lineRule="auto"/>
              <w:rPr>
                <w:rFonts w:ascii="Times New Roman" w:hAnsi="Times New Roman"/>
                <w:sz w:val="24"/>
                <w:szCs w:val="24"/>
              </w:rPr>
            </w:pPr>
            <w:r>
              <w:rPr>
                <w:sz w:val="24"/>
                <w:szCs w:val="24"/>
              </w:rPr>
              <w:t>2.752</w:t>
            </w:r>
          </w:p>
        </w:tc>
        <w:tc>
          <w:tcPr>
            <w:tcW w:w="992" w:type="dxa"/>
          </w:tcPr>
          <w:p w14:paraId="02DED5BA" w14:textId="77777777" w:rsidR="00B33FFC" w:rsidRDefault="002F6BE4">
            <w:pPr>
              <w:spacing w:after="0" w:line="240" w:lineRule="auto"/>
              <w:rPr>
                <w:rFonts w:ascii="Times New Roman" w:hAnsi="Times New Roman"/>
                <w:sz w:val="24"/>
                <w:szCs w:val="24"/>
              </w:rPr>
            </w:pPr>
            <w:r>
              <w:rPr>
                <w:sz w:val="24"/>
                <w:szCs w:val="24"/>
              </w:rPr>
              <w:t>1</w:t>
            </w:r>
          </w:p>
        </w:tc>
        <w:tc>
          <w:tcPr>
            <w:tcW w:w="1276" w:type="dxa"/>
          </w:tcPr>
          <w:p w14:paraId="02DED5BB" w14:textId="77777777" w:rsidR="00B33FFC" w:rsidRDefault="002F6BE4">
            <w:pPr>
              <w:spacing w:after="0" w:line="240" w:lineRule="auto"/>
              <w:rPr>
                <w:rFonts w:ascii="Times New Roman" w:hAnsi="Times New Roman"/>
                <w:sz w:val="24"/>
                <w:szCs w:val="24"/>
              </w:rPr>
            </w:pPr>
            <w:r>
              <w:rPr>
                <w:sz w:val="24"/>
                <w:szCs w:val="24"/>
              </w:rPr>
              <w:t>0.097</w:t>
            </w:r>
          </w:p>
        </w:tc>
      </w:tr>
      <w:tr w:rsidR="00B33FFC" w14:paraId="02DED5C1" w14:textId="77777777">
        <w:tc>
          <w:tcPr>
            <w:tcW w:w="5382" w:type="dxa"/>
          </w:tcPr>
          <w:p w14:paraId="02DED5B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Temperature</w:t>
            </w:r>
          </w:p>
        </w:tc>
        <w:tc>
          <w:tcPr>
            <w:tcW w:w="1134" w:type="dxa"/>
          </w:tcPr>
          <w:p w14:paraId="02DED5BE" w14:textId="77777777" w:rsidR="00B33FFC" w:rsidRDefault="002F6BE4">
            <w:pPr>
              <w:spacing w:after="0" w:line="240" w:lineRule="auto"/>
              <w:rPr>
                <w:rFonts w:ascii="Times New Roman" w:hAnsi="Times New Roman"/>
                <w:sz w:val="24"/>
                <w:szCs w:val="24"/>
              </w:rPr>
            </w:pPr>
            <w:r>
              <w:rPr>
                <w:sz w:val="24"/>
                <w:szCs w:val="24"/>
              </w:rPr>
              <w:t>0.813</w:t>
            </w:r>
          </w:p>
        </w:tc>
        <w:tc>
          <w:tcPr>
            <w:tcW w:w="992" w:type="dxa"/>
          </w:tcPr>
          <w:p w14:paraId="02DED5BF" w14:textId="77777777" w:rsidR="00B33FFC" w:rsidRDefault="002F6BE4">
            <w:pPr>
              <w:spacing w:after="0" w:line="240" w:lineRule="auto"/>
              <w:rPr>
                <w:rFonts w:ascii="Times New Roman" w:hAnsi="Times New Roman"/>
                <w:sz w:val="24"/>
                <w:szCs w:val="24"/>
              </w:rPr>
            </w:pPr>
            <w:r>
              <w:rPr>
                <w:sz w:val="24"/>
                <w:szCs w:val="24"/>
              </w:rPr>
              <w:t>1</w:t>
            </w:r>
          </w:p>
        </w:tc>
        <w:tc>
          <w:tcPr>
            <w:tcW w:w="1276" w:type="dxa"/>
          </w:tcPr>
          <w:p w14:paraId="02DED5C0" w14:textId="77777777" w:rsidR="00B33FFC" w:rsidRDefault="002F6BE4">
            <w:pPr>
              <w:spacing w:after="0" w:line="240" w:lineRule="auto"/>
              <w:rPr>
                <w:rFonts w:ascii="Times New Roman" w:hAnsi="Times New Roman"/>
                <w:sz w:val="24"/>
                <w:szCs w:val="24"/>
              </w:rPr>
            </w:pPr>
            <w:r>
              <w:rPr>
                <w:sz w:val="24"/>
                <w:szCs w:val="24"/>
              </w:rPr>
              <w:t>0.367</w:t>
            </w:r>
          </w:p>
        </w:tc>
      </w:tr>
      <w:tr w:rsidR="00B33FFC" w14:paraId="02DED5C6" w14:textId="77777777">
        <w:tc>
          <w:tcPr>
            <w:tcW w:w="5382" w:type="dxa"/>
          </w:tcPr>
          <w:p w14:paraId="02DED5C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Prey type</w:t>
            </w:r>
          </w:p>
        </w:tc>
        <w:tc>
          <w:tcPr>
            <w:tcW w:w="1134" w:type="dxa"/>
          </w:tcPr>
          <w:p w14:paraId="02DED5C3" w14:textId="77777777" w:rsidR="00B33FFC" w:rsidRDefault="002F6BE4">
            <w:pPr>
              <w:spacing w:after="0" w:line="240" w:lineRule="auto"/>
              <w:rPr>
                <w:rFonts w:ascii="Times New Roman" w:hAnsi="Times New Roman"/>
                <w:sz w:val="24"/>
                <w:szCs w:val="24"/>
              </w:rPr>
            </w:pPr>
            <w:r>
              <w:rPr>
                <w:sz w:val="24"/>
                <w:szCs w:val="24"/>
              </w:rPr>
              <w:t>7.882</w:t>
            </w:r>
          </w:p>
        </w:tc>
        <w:tc>
          <w:tcPr>
            <w:tcW w:w="992" w:type="dxa"/>
          </w:tcPr>
          <w:p w14:paraId="02DED5C4" w14:textId="77777777" w:rsidR="00B33FFC" w:rsidRDefault="002F6BE4">
            <w:pPr>
              <w:spacing w:after="0" w:line="240" w:lineRule="auto"/>
              <w:rPr>
                <w:rFonts w:ascii="Times New Roman" w:hAnsi="Times New Roman"/>
                <w:b/>
                <w:sz w:val="24"/>
                <w:szCs w:val="24"/>
              </w:rPr>
            </w:pPr>
            <w:r>
              <w:rPr>
                <w:sz w:val="24"/>
                <w:szCs w:val="24"/>
              </w:rPr>
              <w:t>1</w:t>
            </w:r>
          </w:p>
        </w:tc>
        <w:tc>
          <w:tcPr>
            <w:tcW w:w="1276" w:type="dxa"/>
          </w:tcPr>
          <w:p w14:paraId="02DED5C5" w14:textId="77777777" w:rsidR="00B33FFC" w:rsidRDefault="002F6BE4">
            <w:pPr>
              <w:spacing w:after="0" w:line="240" w:lineRule="auto"/>
              <w:rPr>
                <w:rFonts w:ascii="Times New Roman" w:hAnsi="Times New Roman"/>
                <w:sz w:val="24"/>
                <w:szCs w:val="24"/>
              </w:rPr>
            </w:pPr>
            <w:r>
              <w:rPr>
                <w:sz w:val="24"/>
                <w:szCs w:val="24"/>
              </w:rPr>
              <w:t>0.005</w:t>
            </w:r>
          </w:p>
        </w:tc>
      </w:tr>
      <w:tr w:rsidR="00B33FFC" w14:paraId="02DED5CB" w14:textId="77777777">
        <w:tc>
          <w:tcPr>
            <w:tcW w:w="5382" w:type="dxa"/>
          </w:tcPr>
          <w:p w14:paraId="02DED5C7"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Body mass</w:t>
            </w:r>
          </w:p>
        </w:tc>
        <w:tc>
          <w:tcPr>
            <w:tcW w:w="1134" w:type="dxa"/>
          </w:tcPr>
          <w:p w14:paraId="02DED5C8" w14:textId="77777777" w:rsidR="00B33FFC" w:rsidRDefault="002F6BE4">
            <w:pPr>
              <w:spacing w:after="0" w:line="240" w:lineRule="auto"/>
              <w:rPr>
                <w:rFonts w:ascii="Times New Roman" w:hAnsi="Times New Roman"/>
                <w:b/>
                <w:sz w:val="24"/>
                <w:szCs w:val="24"/>
              </w:rPr>
            </w:pPr>
            <w:r>
              <w:rPr>
                <w:b/>
                <w:sz w:val="24"/>
                <w:szCs w:val="24"/>
              </w:rPr>
              <w:t>47.361</w:t>
            </w:r>
          </w:p>
        </w:tc>
        <w:tc>
          <w:tcPr>
            <w:tcW w:w="992" w:type="dxa"/>
          </w:tcPr>
          <w:p w14:paraId="02DED5C9"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CA" w14:textId="77777777" w:rsidR="00B33FFC" w:rsidRDefault="002F6BE4">
            <w:pPr>
              <w:spacing w:after="0" w:line="240" w:lineRule="auto"/>
              <w:rPr>
                <w:rFonts w:ascii="Times New Roman" w:hAnsi="Times New Roman"/>
                <w:b/>
                <w:sz w:val="24"/>
                <w:szCs w:val="24"/>
              </w:rPr>
            </w:pPr>
            <w:r>
              <w:rPr>
                <w:b/>
                <w:sz w:val="24"/>
                <w:szCs w:val="24"/>
              </w:rPr>
              <w:t>&lt;0.001</w:t>
            </w:r>
          </w:p>
        </w:tc>
      </w:tr>
      <w:tr w:rsidR="00B33FFC" w14:paraId="02DED5D0" w14:textId="77777777">
        <w:tc>
          <w:tcPr>
            <w:tcW w:w="5382" w:type="dxa"/>
          </w:tcPr>
          <w:p w14:paraId="02DED5CC"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Prey density</w:t>
            </w:r>
          </w:p>
        </w:tc>
        <w:tc>
          <w:tcPr>
            <w:tcW w:w="1134" w:type="dxa"/>
          </w:tcPr>
          <w:p w14:paraId="02DED5CD" w14:textId="77777777" w:rsidR="00B33FFC" w:rsidRDefault="002F6BE4">
            <w:pPr>
              <w:spacing w:after="0" w:line="240" w:lineRule="auto"/>
              <w:rPr>
                <w:rFonts w:ascii="Times New Roman" w:hAnsi="Times New Roman"/>
                <w:b/>
                <w:sz w:val="24"/>
                <w:szCs w:val="24"/>
              </w:rPr>
            </w:pPr>
            <w:r>
              <w:rPr>
                <w:b/>
                <w:sz w:val="24"/>
                <w:szCs w:val="24"/>
              </w:rPr>
              <w:t>972.284</w:t>
            </w:r>
          </w:p>
        </w:tc>
        <w:tc>
          <w:tcPr>
            <w:tcW w:w="992" w:type="dxa"/>
          </w:tcPr>
          <w:p w14:paraId="02DED5CE"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CF" w14:textId="77777777" w:rsidR="00B33FFC" w:rsidRDefault="002F6BE4">
            <w:pPr>
              <w:spacing w:after="0" w:line="240" w:lineRule="auto"/>
              <w:rPr>
                <w:rFonts w:ascii="Times New Roman" w:hAnsi="Times New Roman"/>
                <w:b/>
                <w:sz w:val="24"/>
                <w:szCs w:val="24"/>
              </w:rPr>
            </w:pPr>
            <w:r>
              <w:rPr>
                <w:b/>
                <w:sz w:val="24"/>
                <w:szCs w:val="24"/>
              </w:rPr>
              <w:t>&lt;0.001</w:t>
            </w:r>
          </w:p>
        </w:tc>
      </w:tr>
      <w:tr w:rsidR="00B33FFC" w14:paraId="02DED5D5" w14:textId="77777777">
        <w:tc>
          <w:tcPr>
            <w:tcW w:w="5382" w:type="dxa"/>
          </w:tcPr>
          <w:p w14:paraId="02DED5D1" w14:textId="77777777" w:rsidR="00B33FFC" w:rsidRDefault="002F6BE4">
            <w:pPr>
              <w:spacing w:after="0" w:line="240" w:lineRule="auto"/>
              <w:rPr>
                <w:rFonts w:ascii="Times New Roman" w:hAnsi="Times New Roman"/>
                <w:sz w:val="24"/>
                <w:szCs w:val="24"/>
              </w:rPr>
            </w:pPr>
            <w:proofErr w:type="spellStart"/>
            <w:r>
              <w:rPr>
                <w:rFonts w:ascii="Times New Roman" w:hAnsi="Times New Roman"/>
                <w:sz w:val="24"/>
                <w:szCs w:val="24"/>
              </w:rPr>
              <w:t>Species:Temperature</w:t>
            </w:r>
            <w:proofErr w:type="spellEnd"/>
          </w:p>
        </w:tc>
        <w:tc>
          <w:tcPr>
            <w:tcW w:w="1134" w:type="dxa"/>
          </w:tcPr>
          <w:p w14:paraId="02DED5D2" w14:textId="77777777" w:rsidR="00B33FFC" w:rsidRDefault="002F6BE4">
            <w:pPr>
              <w:spacing w:after="0" w:line="240" w:lineRule="auto"/>
              <w:rPr>
                <w:rFonts w:ascii="Times New Roman" w:hAnsi="Times New Roman"/>
                <w:sz w:val="24"/>
                <w:szCs w:val="24"/>
              </w:rPr>
            </w:pPr>
            <w:r>
              <w:rPr>
                <w:sz w:val="24"/>
                <w:szCs w:val="24"/>
              </w:rPr>
              <w:t>0.737</w:t>
            </w:r>
          </w:p>
        </w:tc>
        <w:tc>
          <w:tcPr>
            <w:tcW w:w="992" w:type="dxa"/>
          </w:tcPr>
          <w:p w14:paraId="02DED5D3" w14:textId="77777777" w:rsidR="00B33FFC" w:rsidRDefault="002F6BE4">
            <w:pPr>
              <w:spacing w:after="0" w:line="240" w:lineRule="auto"/>
              <w:rPr>
                <w:rFonts w:ascii="Times New Roman" w:hAnsi="Times New Roman"/>
                <w:sz w:val="24"/>
                <w:szCs w:val="24"/>
              </w:rPr>
            </w:pPr>
            <w:r>
              <w:rPr>
                <w:sz w:val="24"/>
                <w:szCs w:val="24"/>
              </w:rPr>
              <w:t>1</w:t>
            </w:r>
          </w:p>
        </w:tc>
        <w:tc>
          <w:tcPr>
            <w:tcW w:w="1276" w:type="dxa"/>
          </w:tcPr>
          <w:p w14:paraId="02DED5D4" w14:textId="77777777" w:rsidR="00B33FFC" w:rsidRDefault="002F6BE4">
            <w:pPr>
              <w:spacing w:after="0" w:line="240" w:lineRule="auto"/>
              <w:rPr>
                <w:rFonts w:ascii="Times New Roman" w:hAnsi="Times New Roman"/>
                <w:sz w:val="24"/>
                <w:szCs w:val="24"/>
              </w:rPr>
            </w:pPr>
            <w:r>
              <w:rPr>
                <w:sz w:val="24"/>
                <w:szCs w:val="24"/>
              </w:rPr>
              <w:t>0.391</w:t>
            </w:r>
          </w:p>
        </w:tc>
      </w:tr>
      <w:tr w:rsidR="00B33FFC" w14:paraId="02DED5DA" w14:textId="77777777">
        <w:tc>
          <w:tcPr>
            <w:tcW w:w="5382" w:type="dxa"/>
          </w:tcPr>
          <w:p w14:paraId="02DED5D6"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Species:Prey</w:t>
            </w:r>
            <w:proofErr w:type="spellEnd"/>
            <w:r>
              <w:rPr>
                <w:rFonts w:ascii="Times New Roman" w:hAnsi="Times New Roman"/>
                <w:b/>
                <w:sz w:val="24"/>
                <w:szCs w:val="24"/>
              </w:rPr>
              <w:t xml:space="preserve"> type</w:t>
            </w:r>
          </w:p>
        </w:tc>
        <w:tc>
          <w:tcPr>
            <w:tcW w:w="1134" w:type="dxa"/>
          </w:tcPr>
          <w:p w14:paraId="02DED5D7" w14:textId="77777777" w:rsidR="00B33FFC" w:rsidRDefault="002F6BE4">
            <w:pPr>
              <w:spacing w:after="0" w:line="240" w:lineRule="auto"/>
              <w:rPr>
                <w:rFonts w:ascii="Times New Roman" w:hAnsi="Times New Roman"/>
                <w:b/>
                <w:sz w:val="24"/>
                <w:szCs w:val="24"/>
              </w:rPr>
            </w:pPr>
            <w:r>
              <w:rPr>
                <w:b/>
                <w:sz w:val="24"/>
                <w:szCs w:val="24"/>
              </w:rPr>
              <w:t>5.445</w:t>
            </w:r>
          </w:p>
        </w:tc>
        <w:tc>
          <w:tcPr>
            <w:tcW w:w="992" w:type="dxa"/>
          </w:tcPr>
          <w:p w14:paraId="02DED5D8"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D9" w14:textId="77777777" w:rsidR="00B33FFC" w:rsidRDefault="002F6BE4">
            <w:pPr>
              <w:spacing w:after="0" w:line="240" w:lineRule="auto"/>
              <w:rPr>
                <w:rFonts w:ascii="Times New Roman" w:hAnsi="Times New Roman"/>
                <w:b/>
                <w:sz w:val="24"/>
                <w:szCs w:val="24"/>
              </w:rPr>
            </w:pPr>
            <w:r>
              <w:rPr>
                <w:b/>
                <w:sz w:val="24"/>
                <w:szCs w:val="24"/>
              </w:rPr>
              <w:t>0.020</w:t>
            </w:r>
          </w:p>
        </w:tc>
      </w:tr>
      <w:tr w:rsidR="00B33FFC" w14:paraId="02DED5DF" w14:textId="77777777">
        <w:tc>
          <w:tcPr>
            <w:tcW w:w="5382" w:type="dxa"/>
          </w:tcPr>
          <w:p w14:paraId="02DED5DB"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Species:Body</w:t>
            </w:r>
            <w:proofErr w:type="spellEnd"/>
            <w:r>
              <w:rPr>
                <w:rFonts w:ascii="Times New Roman" w:hAnsi="Times New Roman"/>
                <w:b/>
                <w:sz w:val="24"/>
                <w:szCs w:val="24"/>
              </w:rPr>
              <w:t xml:space="preserve"> mass</w:t>
            </w:r>
          </w:p>
        </w:tc>
        <w:tc>
          <w:tcPr>
            <w:tcW w:w="1134" w:type="dxa"/>
          </w:tcPr>
          <w:p w14:paraId="02DED5DC" w14:textId="77777777" w:rsidR="00B33FFC" w:rsidRDefault="002F6BE4">
            <w:pPr>
              <w:spacing w:after="0" w:line="240" w:lineRule="auto"/>
              <w:rPr>
                <w:rFonts w:ascii="Times New Roman" w:hAnsi="Times New Roman"/>
                <w:b/>
                <w:sz w:val="24"/>
                <w:szCs w:val="24"/>
              </w:rPr>
            </w:pPr>
            <w:r>
              <w:rPr>
                <w:b/>
                <w:sz w:val="24"/>
                <w:szCs w:val="24"/>
              </w:rPr>
              <w:t>0.956</w:t>
            </w:r>
          </w:p>
        </w:tc>
        <w:tc>
          <w:tcPr>
            <w:tcW w:w="992" w:type="dxa"/>
          </w:tcPr>
          <w:p w14:paraId="02DED5DD"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DE" w14:textId="77777777" w:rsidR="00B33FFC" w:rsidRDefault="002F6BE4">
            <w:pPr>
              <w:spacing w:after="0" w:line="240" w:lineRule="auto"/>
              <w:rPr>
                <w:rFonts w:ascii="Times New Roman" w:hAnsi="Times New Roman"/>
                <w:b/>
                <w:sz w:val="24"/>
                <w:szCs w:val="24"/>
              </w:rPr>
            </w:pPr>
            <w:r>
              <w:rPr>
                <w:b/>
                <w:sz w:val="24"/>
                <w:szCs w:val="24"/>
              </w:rPr>
              <w:t>0.328</w:t>
            </w:r>
          </w:p>
        </w:tc>
      </w:tr>
      <w:tr w:rsidR="00B33FFC" w14:paraId="02DED5E4" w14:textId="77777777">
        <w:tc>
          <w:tcPr>
            <w:tcW w:w="5382" w:type="dxa"/>
          </w:tcPr>
          <w:p w14:paraId="02DED5E0"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Temperature:Prey</w:t>
            </w:r>
            <w:proofErr w:type="spellEnd"/>
            <w:r>
              <w:rPr>
                <w:rFonts w:ascii="Times New Roman" w:hAnsi="Times New Roman"/>
                <w:b/>
                <w:sz w:val="24"/>
                <w:szCs w:val="24"/>
              </w:rPr>
              <w:t xml:space="preserve"> type</w:t>
            </w:r>
          </w:p>
        </w:tc>
        <w:tc>
          <w:tcPr>
            <w:tcW w:w="1134" w:type="dxa"/>
          </w:tcPr>
          <w:p w14:paraId="02DED5E1" w14:textId="77777777" w:rsidR="00B33FFC" w:rsidRDefault="002F6BE4">
            <w:pPr>
              <w:spacing w:after="0" w:line="240" w:lineRule="auto"/>
              <w:rPr>
                <w:rFonts w:ascii="Times New Roman" w:hAnsi="Times New Roman"/>
                <w:b/>
                <w:sz w:val="24"/>
                <w:szCs w:val="24"/>
              </w:rPr>
            </w:pPr>
            <w:r>
              <w:rPr>
                <w:b/>
                <w:sz w:val="24"/>
                <w:szCs w:val="24"/>
              </w:rPr>
              <w:t>7.685</w:t>
            </w:r>
          </w:p>
        </w:tc>
        <w:tc>
          <w:tcPr>
            <w:tcW w:w="992" w:type="dxa"/>
          </w:tcPr>
          <w:p w14:paraId="02DED5E2"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E3" w14:textId="77777777" w:rsidR="00B33FFC" w:rsidRDefault="002F6BE4">
            <w:pPr>
              <w:spacing w:after="0" w:line="240" w:lineRule="auto"/>
              <w:rPr>
                <w:rFonts w:ascii="Times New Roman" w:hAnsi="Times New Roman"/>
                <w:b/>
                <w:sz w:val="24"/>
                <w:szCs w:val="24"/>
              </w:rPr>
            </w:pPr>
            <w:r>
              <w:rPr>
                <w:b/>
                <w:sz w:val="24"/>
                <w:szCs w:val="24"/>
              </w:rPr>
              <w:t>0.006</w:t>
            </w:r>
          </w:p>
        </w:tc>
      </w:tr>
      <w:tr w:rsidR="00B33FFC" w14:paraId="02DED5E9" w14:textId="77777777">
        <w:tc>
          <w:tcPr>
            <w:tcW w:w="5382" w:type="dxa"/>
          </w:tcPr>
          <w:p w14:paraId="02DED5E5"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Temperature:Body</w:t>
            </w:r>
            <w:proofErr w:type="spellEnd"/>
            <w:r>
              <w:rPr>
                <w:rFonts w:ascii="Times New Roman" w:hAnsi="Times New Roman"/>
                <w:b/>
                <w:sz w:val="24"/>
                <w:szCs w:val="24"/>
              </w:rPr>
              <w:t xml:space="preserve"> mass</w:t>
            </w:r>
          </w:p>
        </w:tc>
        <w:tc>
          <w:tcPr>
            <w:tcW w:w="1134" w:type="dxa"/>
          </w:tcPr>
          <w:p w14:paraId="02DED5E6" w14:textId="77777777" w:rsidR="00B33FFC" w:rsidRDefault="002F6BE4">
            <w:pPr>
              <w:spacing w:after="0" w:line="240" w:lineRule="auto"/>
              <w:rPr>
                <w:rFonts w:ascii="Times New Roman" w:hAnsi="Times New Roman"/>
                <w:b/>
                <w:sz w:val="24"/>
                <w:szCs w:val="24"/>
              </w:rPr>
            </w:pPr>
            <w:r>
              <w:rPr>
                <w:b/>
                <w:sz w:val="24"/>
                <w:szCs w:val="24"/>
              </w:rPr>
              <w:t>0.592</w:t>
            </w:r>
          </w:p>
        </w:tc>
        <w:tc>
          <w:tcPr>
            <w:tcW w:w="992" w:type="dxa"/>
          </w:tcPr>
          <w:p w14:paraId="02DED5E7"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E8" w14:textId="77777777" w:rsidR="00B33FFC" w:rsidRDefault="002F6BE4">
            <w:pPr>
              <w:spacing w:after="0" w:line="240" w:lineRule="auto"/>
              <w:rPr>
                <w:rFonts w:ascii="Times New Roman" w:hAnsi="Times New Roman"/>
                <w:b/>
                <w:sz w:val="24"/>
                <w:szCs w:val="24"/>
              </w:rPr>
            </w:pPr>
            <w:r>
              <w:rPr>
                <w:b/>
                <w:sz w:val="24"/>
                <w:szCs w:val="24"/>
              </w:rPr>
              <w:t>0.442</w:t>
            </w:r>
          </w:p>
        </w:tc>
      </w:tr>
      <w:tr w:rsidR="00B33FFC" w14:paraId="02DED5EE" w14:textId="77777777">
        <w:tc>
          <w:tcPr>
            <w:tcW w:w="5382" w:type="dxa"/>
          </w:tcPr>
          <w:p w14:paraId="02DED5EA"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 xml:space="preserve">Prey </w:t>
            </w:r>
            <w:proofErr w:type="spellStart"/>
            <w:r>
              <w:rPr>
                <w:rFonts w:ascii="Times New Roman" w:hAnsi="Times New Roman"/>
                <w:b/>
                <w:sz w:val="24"/>
                <w:szCs w:val="24"/>
              </w:rPr>
              <w:t>type:Body</w:t>
            </w:r>
            <w:proofErr w:type="spellEnd"/>
            <w:r>
              <w:rPr>
                <w:rFonts w:ascii="Times New Roman" w:hAnsi="Times New Roman"/>
                <w:b/>
                <w:sz w:val="24"/>
                <w:szCs w:val="24"/>
              </w:rPr>
              <w:t xml:space="preserve"> mass</w:t>
            </w:r>
          </w:p>
        </w:tc>
        <w:tc>
          <w:tcPr>
            <w:tcW w:w="1134" w:type="dxa"/>
          </w:tcPr>
          <w:p w14:paraId="02DED5EB" w14:textId="77777777" w:rsidR="00B33FFC" w:rsidRDefault="002F6BE4">
            <w:pPr>
              <w:spacing w:after="0" w:line="240" w:lineRule="auto"/>
              <w:rPr>
                <w:rFonts w:ascii="Times New Roman" w:hAnsi="Times New Roman"/>
                <w:b/>
                <w:sz w:val="24"/>
                <w:szCs w:val="24"/>
              </w:rPr>
            </w:pPr>
            <w:r>
              <w:rPr>
                <w:b/>
                <w:sz w:val="24"/>
                <w:szCs w:val="24"/>
              </w:rPr>
              <w:t>5.883</w:t>
            </w:r>
          </w:p>
        </w:tc>
        <w:tc>
          <w:tcPr>
            <w:tcW w:w="992" w:type="dxa"/>
          </w:tcPr>
          <w:p w14:paraId="02DED5EC"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ED" w14:textId="77777777" w:rsidR="00B33FFC" w:rsidRDefault="002F6BE4">
            <w:pPr>
              <w:spacing w:after="0" w:line="240" w:lineRule="auto"/>
              <w:rPr>
                <w:rFonts w:ascii="Times New Roman" w:hAnsi="Times New Roman"/>
                <w:b/>
                <w:sz w:val="24"/>
                <w:szCs w:val="24"/>
              </w:rPr>
            </w:pPr>
            <w:r>
              <w:rPr>
                <w:b/>
                <w:sz w:val="24"/>
                <w:szCs w:val="24"/>
              </w:rPr>
              <w:t>0.015</w:t>
            </w:r>
          </w:p>
        </w:tc>
      </w:tr>
      <w:tr w:rsidR="00B33FFC" w14:paraId="02DED5F3" w14:textId="77777777">
        <w:tc>
          <w:tcPr>
            <w:tcW w:w="5382" w:type="dxa"/>
          </w:tcPr>
          <w:p w14:paraId="02DED5EF"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Species:Temperature:Prey</w:t>
            </w:r>
            <w:proofErr w:type="spellEnd"/>
            <w:r>
              <w:rPr>
                <w:rFonts w:ascii="Times New Roman" w:hAnsi="Times New Roman"/>
                <w:b/>
                <w:sz w:val="24"/>
                <w:szCs w:val="24"/>
              </w:rPr>
              <w:t xml:space="preserve"> type</w:t>
            </w:r>
          </w:p>
        </w:tc>
        <w:tc>
          <w:tcPr>
            <w:tcW w:w="1134" w:type="dxa"/>
          </w:tcPr>
          <w:p w14:paraId="02DED5F0" w14:textId="77777777" w:rsidR="00B33FFC" w:rsidRDefault="002F6BE4">
            <w:pPr>
              <w:spacing w:after="0" w:line="240" w:lineRule="auto"/>
              <w:rPr>
                <w:rFonts w:ascii="Times New Roman" w:hAnsi="Times New Roman"/>
                <w:b/>
                <w:sz w:val="24"/>
                <w:szCs w:val="24"/>
              </w:rPr>
            </w:pPr>
            <w:r>
              <w:rPr>
                <w:b/>
                <w:sz w:val="24"/>
                <w:szCs w:val="24"/>
              </w:rPr>
              <w:t>14.629</w:t>
            </w:r>
          </w:p>
        </w:tc>
        <w:tc>
          <w:tcPr>
            <w:tcW w:w="992" w:type="dxa"/>
          </w:tcPr>
          <w:p w14:paraId="02DED5F1"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F2" w14:textId="77777777" w:rsidR="00B33FFC" w:rsidRDefault="002F6BE4">
            <w:pPr>
              <w:spacing w:after="0" w:line="240" w:lineRule="auto"/>
              <w:rPr>
                <w:rFonts w:ascii="Times New Roman" w:hAnsi="Times New Roman"/>
                <w:b/>
                <w:sz w:val="24"/>
                <w:szCs w:val="24"/>
              </w:rPr>
            </w:pPr>
            <w:r>
              <w:rPr>
                <w:b/>
                <w:sz w:val="24"/>
                <w:szCs w:val="24"/>
              </w:rPr>
              <w:t>&lt;0.001</w:t>
            </w:r>
          </w:p>
        </w:tc>
      </w:tr>
      <w:tr w:rsidR="00B33FFC" w14:paraId="02DED5F8" w14:textId="77777777">
        <w:tc>
          <w:tcPr>
            <w:tcW w:w="5382" w:type="dxa"/>
          </w:tcPr>
          <w:p w14:paraId="02DED5F4"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Species:Temperature:Body</w:t>
            </w:r>
            <w:proofErr w:type="spellEnd"/>
            <w:r>
              <w:rPr>
                <w:rFonts w:ascii="Times New Roman" w:hAnsi="Times New Roman"/>
                <w:b/>
                <w:sz w:val="24"/>
                <w:szCs w:val="24"/>
              </w:rPr>
              <w:t xml:space="preserve"> mass</w:t>
            </w:r>
          </w:p>
        </w:tc>
        <w:tc>
          <w:tcPr>
            <w:tcW w:w="1134" w:type="dxa"/>
          </w:tcPr>
          <w:p w14:paraId="02DED5F5" w14:textId="77777777" w:rsidR="00B33FFC" w:rsidRDefault="002F6BE4">
            <w:pPr>
              <w:spacing w:after="0" w:line="240" w:lineRule="auto"/>
              <w:rPr>
                <w:rFonts w:ascii="Times New Roman" w:hAnsi="Times New Roman"/>
                <w:b/>
                <w:sz w:val="24"/>
                <w:szCs w:val="24"/>
              </w:rPr>
            </w:pPr>
            <w:r>
              <w:rPr>
                <w:b/>
                <w:sz w:val="24"/>
                <w:szCs w:val="24"/>
              </w:rPr>
              <w:t>11.138</w:t>
            </w:r>
          </w:p>
        </w:tc>
        <w:tc>
          <w:tcPr>
            <w:tcW w:w="992" w:type="dxa"/>
          </w:tcPr>
          <w:p w14:paraId="02DED5F6"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F7" w14:textId="77777777" w:rsidR="00B33FFC" w:rsidRDefault="002F6BE4">
            <w:pPr>
              <w:spacing w:after="0" w:line="240" w:lineRule="auto"/>
              <w:rPr>
                <w:rFonts w:ascii="Times New Roman" w:hAnsi="Times New Roman"/>
                <w:b/>
                <w:sz w:val="24"/>
                <w:szCs w:val="24"/>
              </w:rPr>
            </w:pPr>
            <w:r>
              <w:rPr>
                <w:b/>
                <w:sz w:val="24"/>
                <w:szCs w:val="24"/>
              </w:rPr>
              <w:t>0.001</w:t>
            </w:r>
          </w:p>
        </w:tc>
      </w:tr>
      <w:tr w:rsidR="00B33FFC" w14:paraId="02DED5FD" w14:textId="77777777">
        <w:tc>
          <w:tcPr>
            <w:tcW w:w="5382" w:type="dxa"/>
          </w:tcPr>
          <w:p w14:paraId="02DED5F9"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Species:Prey</w:t>
            </w:r>
            <w:proofErr w:type="spellEnd"/>
            <w:r>
              <w:rPr>
                <w:rFonts w:ascii="Times New Roman" w:hAnsi="Times New Roman"/>
                <w:b/>
                <w:sz w:val="24"/>
                <w:szCs w:val="24"/>
              </w:rPr>
              <w:t xml:space="preserve"> </w:t>
            </w:r>
            <w:proofErr w:type="spellStart"/>
            <w:r>
              <w:rPr>
                <w:rFonts w:ascii="Times New Roman" w:hAnsi="Times New Roman"/>
                <w:b/>
                <w:sz w:val="24"/>
                <w:szCs w:val="24"/>
              </w:rPr>
              <w:t>type:Body</w:t>
            </w:r>
            <w:proofErr w:type="spellEnd"/>
            <w:r>
              <w:rPr>
                <w:rFonts w:ascii="Times New Roman" w:hAnsi="Times New Roman"/>
                <w:b/>
                <w:sz w:val="24"/>
                <w:szCs w:val="24"/>
              </w:rPr>
              <w:t xml:space="preserve"> mass</w:t>
            </w:r>
          </w:p>
        </w:tc>
        <w:tc>
          <w:tcPr>
            <w:tcW w:w="1134" w:type="dxa"/>
          </w:tcPr>
          <w:p w14:paraId="02DED5FA" w14:textId="77777777" w:rsidR="00B33FFC" w:rsidRDefault="002F6BE4">
            <w:pPr>
              <w:spacing w:after="0" w:line="240" w:lineRule="auto"/>
              <w:rPr>
                <w:rFonts w:ascii="Times New Roman" w:hAnsi="Times New Roman"/>
                <w:b/>
                <w:sz w:val="24"/>
                <w:szCs w:val="24"/>
              </w:rPr>
            </w:pPr>
            <w:r>
              <w:rPr>
                <w:b/>
                <w:sz w:val="24"/>
                <w:szCs w:val="24"/>
              </w:rPr>
              <w:t>6.267</w:t>
            </w:r>
          </w:p>
        </w:tc>
        <w:tc>
          <w:tcPr>
            <w:tcW w:w="992" w:type="dxa"/>
          </w:tcPr>
          <w:p w14:paraId="02DED5FB"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5FC" w14:textId="77777777" w:rsidR="00B33FFC" w:rsidRDefault="002F6BE4">
            <w:pPr>
              <w:spacing w:after="0" w:line="240" w:lineRule="auto"/>
              <w:rPr>
                <w:rFonts w:ascii="Times New Roman" w:hAnsi="Times New Roman"/>
                <w:b/>
                <w:sz w:val="24"/>
                <w:szCs w:val="24"/>
              </w:rPr>
            </w:pPr>
            <w:r>
              <w:rPr>
                <w:b/>
                <w:sz w:val="24"/>
                <w:szCs w:val="24"/>
              </w:rPr>
              <w:t>0.012</w:t>
            </w:r>
          </w:p>
        </w:tc>
      </w:tr>
      <w:tr w:rsidR="00B33FFC" w14:paraId="02DED602" w14:textId="77777777">
        <w:tc>
          <w:tcPr>
            <w:tcW w:w="5382" w:type="dxa"/>
          </w:tcPr>
          <w:p w14:paraId="02DED5FE"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Temperature:Prey</w:t>
            </w:r>
            <w:proofErr w:type="spellEnd"/>
            <w:r>
              <w:rPr>
                <w:rFonts w:ascii="Times New Roman" w:hAnsi="Times New Roman"/>
                <w:b/>
                <w:sz w:val="24"/>
                <w:szCs w:val="24"/>
              </w:rPr>
              <w:t xml:space="preserve"> </w:t>
            </w:r>
            <w:proofErr w:type="spellStart"/>
            <w:r>
              <w:rPr>
                <w:rFonts w:ascii="Times New Roman" w:hAnsi="Times New Roman"/>
                <w:b/>
                <w:sz w:val="24"/>
                <w:szCs w:val="24"/>
              </w:rPr>
              <w:t>type:Body</w:t>
            </w:r>
            <w:proofErr w:type="spellEnd"/>
            <w:r>
              <w:rPr>
                <w:rFonts w:ascii="Times New Roman" w:hAnsi="Times New Roman"/>
                <w:b/>
                <w:sz w:val="24"/>
                <w:szCs w:val="24"/>
              </w:rPr>
              <w:t xml:space="preserve"> mass</w:t>
            </w:r>
          </w:p>
        </w:tc>
        <w:tc>
          <w:tcPr>
            <w:tcW w:w="1134" w:type="dxa"/>
          </w:tcPr>
          <w:p w14:paraId="02DED5FF" w14:textId="77777777" w:rsidR="00B33FFC" w:rsidRDefault="002F6BE4">
            <w:pPr>
              <w:spacing w:after="0" w:line="240" w:lineRule="auto"/>
              <w:rPr>
                <w:rFonts w:ascii="Times New Roman" w:hAnsi="Times New Roman"/>
                <w:b/>
                <w:sz w:val="24"/>
                <w:szCs w:val="24"/>
              </w:rPr>
            </w:pPr>
            <w:r>
              <w:rPr>
                <w:b/>
                <w:sz w:val="24"/>
                <w:szCs w:val="24"/>
              </w:rPr>
              <w:t>0.087</w:t>
            </w:r>
          </w:p>
        </w:tc>
        <w:tc>
          <w:tcPr>
            <w:tcW w:w="992" w:type="dxa"/>
          </w:tcPr>
          <w:p w14:paraId="02DED600"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601" w14:textId="77777777" w:rsidR="00B33FFC" w:rsidRDefault="002F6BE4">
            <w:pPr>
              <w:spacing w:after="0" w:line="240" w:lineRule="auto"/>
              <w:rPr>
                <w:rFonts w:ascii="Times New Roman" w:hAnsi="Times New Roman"/>
                <w:b/>
                <w:sz w:val="24"/>
                <w:szCs w:val="24"/>
              </w:rPr>
            </w:pPr>
            <w:r>
              <w:rPr>
                <w:b/>
                <w:sz w:val="24"/>
                <w:szCs w:val="24"/>
              </w:rPr>
              <w:t>0.768</w:t>
            </w:r>
          </w:p>
        </w:tc>
      </w:tr>
      <w:tr w:rsidR="00B33FFC" w14:paraId="02DED607" w14:textId="77777777">
        <w:tc>
          <w:tcPr>
            <w:tcW w:w="5382" w:type="dxa"/>
          </w:tcPr>
          <w:p w14:paraId="02DED603"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Species:Temperature:Prey</w:t>
            </w:r>
            <w:proofErr w:type="spellEnd"/>
            <w:r>
              <w:rPr>
                <w:rFonts w:ascii="Times New Roman" w:hAnsi="Times New Roman"/>
                <w:b/>
                <w:sz w:val="24"/>
                <w:szCs w:val="24"/>
              </w:rPr>
              <w:t xml:space="preserve"> </w:t>
            </w:r>
            <w:proofErr w:type="spellStart"/>
            <w:r>
              <w:rPr>
                <w:rFonts w:ascii="Times New Roman" w:hAnsi="Times New Roman"/>
                <w:b/>
                <w:sz w:val="24"/>
                <w:szCs w:val="24"/>
              </w:rPr>
              <w:t>type:Body</w:t>
            </w:r>
            <w:proofErr w:type="spellEnd"/>
            <w:r>
              <w:rPr>
                <w:rFonts w:ascii="Times New Roman" w:hAnsi="Times New Roman"/>
                <w:b/>
                <w:sz w:val="24"/>
                <w:szCs w:val="24"/>
              </w:rPr>
              <w:t xml:space="preserve"> mass</w:t>
            </w:r>
          </w:p>
        </w:tc>
        <w:tc>
          <w:tcPr>
            <w:tcW w:w="1134" w:type="dxa"/>
          </w:tcPr>
          <w:p w14:paraId="02DED604" w14:textId="77777777" w:rsidR="00B33FFC" w:rsidRDefault="002F6BE4">
            <w:pPr>
              <w:spacing w:after="0" w:line="240" w:lineRule="auto"/>
              <w:rPr>
                <w:rFonts w:ascii="Times New Roman" w:hAnsi="Times New Roman"/>
                <w:b/>
                <w:sz w:val="24"/>
                <w:szCs w:val="24"/>
              </w:rPr>
            </w:pPr>
            <w:r>
              <w:rPr>
                <w:b/>
                <w:sz w:val="24"/>
                <w:szCs w:val="24"/>
              </w:rPr>
              <w:t>7.777</w:t>
            </w:r>
          </w:p>
        </w:tc>
        <w:tc>
          <w:tcPr>
            <w:tcW w:w="992" w:type="dxa"/>
          </w:tcPr>
          <w:p w14:paraId="02DED605" w14:textId="77777777" w:rsidR="00B33FFC" w:rsidRDefault="002F6BE4">
            <w:pPr>
              <w:spacing w:after="0" w:line="240" w:lineRule="auto"/>
              <w:rPr>
                <w:rFonts w:ascii="Times New Roman" w:hAnsi="Times New Roman"/>
                <w:b/>
                <w:sz w:val="24"/>
                <w:szCs w:val="24"/>
              </w:rPr>
            </w:pPr>
            <w:r>
              <w:rPr>
                <w:b/>
                <w:sz w:val="24"/>
                <w:szCs w:val="24"/>
              </w:rPr>
              <w:t>1</w:t>
            </w:r>
          </w:p>
        </w:tc>
        <w:tc>
          <w:tcPr>
            <w:tcW w:w="1276" w:type="dxa"/>
          </w:tcPr>
          <w:p w14:paraId="02DED606" w14:textId="77777777" w:rsidR="00B33FFC" w:rsidRDefault="002F6BE4">
            <w:pPr>
              <w:spacing w:after="0" w:line="240" w:lineRule="auto"/>
              <w:rPr>
                <w:rFonts w:ascii="Times New Roman" w:hAnsi="Times New Roman"/>
                <w:b/>
                <w:sz w:val="24"/>
                <w:szCs w:val="24"/>
              </w:rPr>
            </w:pPr>
            <w:r>
              <w:rPr>
                <w:b/>
                <w:sz w:val="24"/>
                <w:szCs w:val="24"/>
              </w:rPr>
              <w:t>0.005</w:t>
            </w:r>
          </w:p>
        </w:tc>
      </w:tr>
    </w:tbl>
    <w:p w14:paraId="02DED608" w14:textId="77777777" w:rsidR="00B33FFC" w:rsidRDefault="00B33FFC">
      <w:pPr>
        <w:spacing w:line="480" w:lineRule="auto"/>
        <w:rPr>
          <w:rFonts w:ascii="Times New Roman" w:hAnsi="Times New Roman"/>
          <w:sz w:val="24"/>
          <w:szCs w:val="24"/>
        </w:rPr>
      </w:pPr>
    </w:p>
    <w:p w14:paraId="02DED609" w14:textId="77777777" w:rsidR="00B33FFC" w:rsidRDefault="002F6BE4">
      <w:pPr>
        <w:spacing w:line="480" w:lineRule="auto"/>
        <w:rPr>
          <w:rFonts w:ascii="Times New Roman" w:hAnsi="Times New Roman"/>
          <w:sz w:val="24"/>
          <w:szCs w:val="24"/>
        </w:rPr>
      </w:pPr>
      <w:r>
        <w:rPr>
          <w:rFonts w:ascii="Times New Roman" w:hAnsi="Times New Roman"/>
          <w:noProof/>
          <w:sz w:val="24"/>
          <w:szCs w:val="24"/>
        </w:rPr>
        <w:lastRenderedPageBreak/>
        <w:drawing>
          <wp:inline distT="0" distB="0" distL="0" distR="0" wp14:anchorId="02DED70B" wp14:editId="02DED70C">
            <wp:extent cx="5759450" cy="3408045"/>
            <wp:effectExtent l="0" t="0" r="0" b="0"/>
            <wp:docPr id="19504440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759450" cy="3408045"/>
                    </a:xfrm>
                    <a:prstGeom prst="rect">
                      <a:avLst/>
                    </a:prstGeom>
                    <a:ln/>
                  </pic:spPr>
                </pic:pic>
              </a:graphicData>
            </a:graphic>
          </wp:inline>
        </w:drawing>
      </w:r>
    </w:p>
    <w:p w14:paraId="02DED60A" w14:textId="77777777" w:rsidR="00B33FFC" w:rsidRDefault="002F6BE4">
      <w:pPr>
        <w:spacing w:line="240" w:lineRule="auto"/>
        <w:rPr>
          <w:rFonts w:ascii="Times New Roman" w:hAnsi="Times New Roman"/>
          <w:sz w:val="24"/>
          <w:szCs w:val="24"/>
        </w:rPr>
      </w:pPr>
      <w:r>
        <w:rPr>
          <w:rFonts w:ascii="Times New Roman" w:hAnsi="Times New Roman"/>
          <w:b/>
          <w:sz w:val="24"/>
          <w:szCs w:val="24"/>
        </w:rPr>
        <w:t>Figure 1.</w:t>
      </w:r>
      <w:r>
        <w:rPr>
          <w:rFonts w:ascii="Times New Roman" w:hAnsi="Times New Roman"/>
          <w:sz w:val="24"/>
          <w:szCs w:val="24"/>
        </w:rPr>
        <w:t xml:space="preserve"> Feeding rate of racer goby and European bullhead as a function of body mass for each species, prey type and temperature (ambient, 15</w:t>
      </w:r>
      <w:r>
        <w:rPr>
          <w:rFonts w:ascii="Times New Roman" w:hAnsi="Times New Roman"/>
          <w:sz w:val="24"/>
          <w:szCs w:val="24"/>
          <w:vertAlign w:val="superscript"/>
        </w:rPr>
        <w:t>o</w:t>
      </w:r>
      <w:r>
        <w:rPr>
          <w:rFonts w:ascii="Times New Roman" w:hAnsi="Times New Roman"/>
          <w:sz w:val="24"/>
          <w:szCs w:val="24"/>
        </w:rPr>
        <w:t>C; warming, 23</w:t>
      </w:r>
      <w:r>
        <w:rPr>
          <w:rFonts w:ascii="Times New Roman" w:hAnsi="Times New Roman"/>
          <w:sz w:val="24"/>
          <w:szCs w:val="24"/>
          <w:vertAlign w:val="superscript"/>
        </w:rPr>
        <w:t>o</w:t>
      </w:r>
      <w:r>
        <w:rPr>
          <w:rFonts w:ascii="Times New Roman" w:hAnsi="Times New Roman"/>
          <w:sz w:val="24"/>
          <w:szCs w:val="24"/>
        </w:rPr>
        <w:t>C) regime. Lines represent effect predictions alongside 95% confidence intervals. Points are back-transformed binomial generalised linear mixed model residuals.</w:t>
      </w:r>
    </w:p>
    <w:p w14:paraId="02DED60B" w14:textId="77777777" w:rsidR="00B33FFC" w:rsidRDefault="002F6BE4">
      <w:pPr>
        <w:spacing w:line="480" w:lineRule="auto"/>
        <w:ind w:firstLine="720"/>
        <w:rPr>
          <w:rFonts w:ascii="Times New Roman" w:hAnsi="Times New Roman"/>
          <w:sz w:val="24"/>
          <w:szCs w:val="24"/>
        </w:rPr>
      </w:pPr>
      <w:r>
        <w:rPr>
          <w:rFonts w:ascii="Times New Roman" w:hAnsi="Times New Roman"/>
          <w:sz w:val="24"/>
          <w:szCs w:val="24"/>
        </w:rPr>
        <w:t xml:space="preserve">The interactions among species, temperature, and prey type further manifest across functional responses. Both species exhibited significant Type II functional responses across all treatments indicated by a significantly negative linear coefficient </w:t>
      </w:r>
      <w:r>
        <w:rPr>
          <w:rFonts w:ascii="Times New Roman" w:hAnsi="Times New Roman"/>
          <w:color w:val="222222"/>
          <w:sz w:val="24"/>
          <w:szCs w:val="24"/>
          <w:highlight w:val="white"/>
        </w:rPr>
        <w:t>(Juliano, 2001)</w:t>
      </w:r>
      <w:r>
        <w:rPr>
          <w:rFonts w:ascii="Times New Roman" w:hAnsi="Times New Roman"/>
          <w:sz w:val="24"/>
          <w:szCs w:val="24"/>
        </w:rPr>
        <w:t xml:space="preserve"> (Table 2). There was little divergence between racer goby and European bullhead at the ambient temperature for both prey types. Contrastingly, at the higher temperature, functional responses were always divergent between the two species, indicating a significantly greater feeding magnitude for the racer goby for both prey types (Figure 2). Attack rates tended to fall with temperature for both species and prey types, except for racer goby towards active prey. Handling times always shortened for racer goby while they lengthened for European bullheads with warming (Table 2, Figure S4). Attack rates generally tended to be higher, and handling times lower, for active versus inactive prey (Table 2, Figure S5).</w:t>
      </w:r>
    </w:p>
    <w:p w14:paraId="02DED60C" w14:textId="77777777" w:rsidR="00B33FFC" w:rsidRDefault="002F6BE4">
      <w:pPr>
        <w:spacing w:line="240" w:lineRule="auto"/>
        <w:rPr>
          <w:rFonts w:ascii="Times New Roman" w:hAnsi="Times New Roman"/>
          <w:sz w:val="24"/>
          <w:szCs w:val="24"/>
        </w:rPr>
      </w:pPr>
      <w:r>
        <w:rPr>
          <w:rFonts w:ascii="Times New Roman" w:hAnsi="Times New Roman"/>
          <w:b/>
          <w:sz w:val="24"/>
          <w:szCs w:val="24"/>
        </w:rPr>
        <w:lastRenderedPageBreak/>
        <w:t>Table 2.</w:t>
      </w:r>
      <w:r>
        <w:rPr>
          <w:rFonts w:ascii="Times New Roman" w:hAnsi="Times New Roman"/>
          <w:sz w:val="24"/>
          <w:szCs w:val="24"/>
        </w:rPr>
        <w:t xml:space="preserve"> Functional response estimates (types), attack rates, handling times, and maximum feeding rates among treatment groups. Estimates were determined using logistic regression and parameters were returned from Rogers random predator equation.</w:t>
      </w:r>
    </w:p>
    <w:tbl>
      <w:tblPr>
        <w:tblStyle w:val="a0"/>
        <w:tblW w:w="8997"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6"/>
        <w:gridCol w:w="1701"/>
        <w:gridCol w:w="993"/>
        <w:gridCol w:w="1417"/>
        <w:gridCol w:w="1075"/>
        <w:gridCol w:w="1193"/>
        <w:gridCol w:w="1342"/>
      </w:tblGrid>
      <w:tr w:rsidR="00B33FFC" w14:paraId="02DED614" w14:textId="77777777">
        <w:tc>
          <w:tcPr>
            <w:tcW w:w="1276" w:type="dxa"/>
          </w:tcPr>
          <w:p w14:paraId="02DED60D"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Species</w:t>
            </w:r>
          </w:p>
        </w:tc>
        <w:tc>
          <w:tcPr>
            <w:tcW w:w="1701" w:type="dxa"/>
          </w:tcPr>
          <w:p w14:paraId="02DED60E" w14:textId="77777777" w:rsidR="00B33FFC" w:rsidRDefault="002F6BE4">
            <w:pPr>
              <w:spacing w:after="0" w:line="240" w:lineRule="auto"/>
              <w:rPr>
                <w:rFonts w:ascii="Times New Roman" w:hAnsi="Times New Roman"/>
                <w:b/>
                <w:sz w:val="24"/>
                <w:szCs w:val="24"/>
              </w:rPr>
            </w:pPr>
            <w:bookmarkStart w:id="3" w:name="_heading=h.1fob9te" w:colFirst="0" w:colLast="0"/>
            <w:bookmarkEnd w:id="3"/>
            <w:r>
              <w:rPr>
                <w:rFonts w:ascii="Times New Roman" w:hAnsi="Times New Roman"/>
                <w:b/>
                <w:sz w:val="24"/>
                <w:szCs w:val="24"/>
              </w:rPr>
              <w:t>Temperature (15, 23 °C)</w:t>
            </w:r>
          </w:p>
        </w:tc>
        <w:tc>
          <w:tcPr>
            <w:tcW w:w="993" w:type="dxa"/>
          </w:tcPr>
          <w:p w14:paraId="02DED60F"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Prey type</w:t>
            </w:r>
          </w:p>
        </w:tc>
        <w:tc>
          <w:tcPr>
            <w:tcW w:w="1417" w:type="dxa"/>
          </w:tcPr>
          <w:p w14:paraId="02DED610"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Estimate, p-value (type)</w:t>
            </w:r>
          </w:p>
        </w:tc>
        <w:tc>
          <w:tcPr>
            <w:tcW w:w="1075" w:type="dxa"/>
          </w:tcPr>
          <w:p w14:paraId="02DED611"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Attack rate (a), p-value</w:t>
            </w:r>
          </w:p>
        </w:tc>
        <w:tc>
          <w:tcPr>
            <w:tcW w:w="1193" w:type="dxa"/>
          </w:tcPr>
          <w:p w14:paraId="02DED612"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Handling time (h), p-value</w:t>
            </w:r>
          </w:p>
        </w:tc>
        <w:tc>
          <w:tcPr>
            <w:tcW w:w="1342" w:type="dxa"/>
          </w:tcPr>
          <w:p w14:paraId="02DED613"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Maximum feeding rate (1/h)</w:t>
            </w:r>
          </w:p>
        </w:tc>
      </w:tr>
      <w:tr w:rsidR="00B33FFC" w14:paraId="02DED620" w14:textId="77777777">
        <w:tc>
          <w:tcPr>
            <w:tcW w:w="1276" w:type="dxa"/>
          </w:tcPr>
          <w:p w14:paraId="02DED615"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European bullhead</w:t>
            </w:r>
          </w:p>
        </w:tc>
        <w:tc>
          <w:tcPr>
            <w:tcW w:w="1701" w:type="dxa"/>
          </w:tcPr>
          <w:p w14:paraId="02DED616"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Ambient</w:t>
            </w:r>
          </w:p>
        </w:tc>
        <w:tc>
          <w:tcPr>
            <w:tcW w:w="993" w:type="dxa"/>
          </w:tcPr>
          <w:p w14:paraId="02DED61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Inactive</w:t>
            </w:r>
          </w:p>
        </w:tc>
        <w:tc>
          <w:tcPr>
            <w:tcW w:w="1417" w:type="dxa"/>
          </w:tcPr>
          <w:p w14:paraId="02DED61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-0.044, </w:t>
            </w:r>
          </w:p>
          <w:p w14:paraId="02DED61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1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1.585, </w:t>
            </w:r>
          </w:p>
          <w:p w14:paraId="02DED61B"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1C"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0.060, </w:t>
            </w:r>
          </w:p>
          <w:p w14:paraId="02DED61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1E"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16.667</w:t>
            </w:r>
          </w:p>
          <w:p w14:paraId="02DED61F" w14:textId="77777777" w:rsidR="00B33FFC" w:rsidRDefault="00B33FFC">
            <w:pPr>
              <w:spacing w:after="0" w:line="240" w:lineRule="auto"/>
              <w:rPr>
                <w:rFonts w:ascii="Times New Roman" w:hAnsi="Times New Roman"/>
                <w:sz w:val="24"/>
                <w:szCs w:val="24"/>
              </w:rPr>
            </w:pPr>
          </w:p>
        </w:tc>
      </w:tr>
      <w:tr w:rsidR="00B33FFC" w14:paraId="02DED62B" w14:textId="77777777">
        <w:tc>
          <w:tcPr>
            <w:tcW w:w="1276" w:type="dxa"/>
          </w:tcPr>
          <w:p w14:paraId="02DED621"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Racer goby</w:t>
            </w:r>
          </w:p>
        </w:tc>
        <w:tc>
          <w:tcPr>
            <w:tcW w:w="1701" w:type="dxa"/>
          </w:tcPr>
          <w:p w14:paraId="02DED62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Ambient</w:t>
            </w:r>
          </w:p>
        </w:tc>
        <w:tc>
          <w:tcPr>
            <w:tcW w:w="993" w:type="dxa"/>
          </w:tcPr>
          <w:p w14:paraId="02DED623"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Inactive</w:t>
            </w:r>
          </w:p>
        </w:tc>
        <w:tc>
          <w:tcPr>
            <w:tcW w:w="1417" w:type="dxa"/>
          </w:tcPr>
          <w:p w14:paraId="02DED624"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-0.060, </w:t>
            </w:r>
          </w:p>
          <w:p w14:paraId="02DED625"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26"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3.968, </w:t>
            </w:r>
          </w:p>
          <w:p w14:paraId="02DED62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2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0.061,</w:t>
            </w:r>
          </w:p>
          <w:p w14:paraId="02DED62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 &lt; 0.001</w:t>
            </w:r>
          </w:p>
        </w:tc>
        <w:tc>
          <w:tcPr>
            <w:tcW w:w="1342" w:type="dxa"/>
          </w:tcPr>
          <w:p w14:paraId="02DED62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16.393</w:t>
            </w:r>
          </w:p>
        </w:tc>
      </w:tr>
      <w:tr w:rsidR="00B33FFC" w14:paraId="02DED635" w14:textId="77777777">
        <w:tc>
          <w:tcPr>
            <w:tcW w:w="1276" w:type="dxa"/>
          </w:tcPr>
          <w:p w14:paraId="02DED62C"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European bullhead</w:t>
            </w:r>
          </w:p>
        </w:tc>
        <w:tc>
          <w:tcPr>
            <w:tcW w:w="1701" w:type="dxa"/>
          </w:tcPr>
          <w:p w14:paraId="02DED62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Warming</w:t>
            </w:r>
          </w:p>
        </w:tc>
        <w:tc>
          <w:tcPr>
            <w:tcW w:w="993" w:type="dxa"/>
          </w:tcPr>
          <w:p w14:paraId="02DED62E"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Inactive</w:t>
            </w:r>
          </w:p>
        </w:tc>
        <w:tc>
          <w:tcPr>
            <w:tcW w:w="1417" w:type="dxa"/>
          </w:tcPr>
          <w:p w14:paraId="02DED62F"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-0.044, </w:t>
            </w:r>
          </w:p>
          <w:p w14:paraId="02DED630"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31"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0.990, 0.284</w:t>
            </w:r>
          </w:p>
        </w:tc>
        <w:tc>
          <w:tcPr>
            <w:tcW w:w="1193" w:type="dxa"/>
          </w:tcPr>
          <w:p w14:paraId="02DED63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0.550, </w:t>
            </w:r>
          </w:p>
          <w:p w14:paraId="02DED633"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34"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1.818</w:t>
            </w:r>
          </w:p>
        </w:tc>
      </w:tr>
      <w:tr w:rsidR="00B33FFC" w14:paraId="02DED640" w14:textId="77777777">
        <w:tc>
          <w:tcPr>
            <w:tcW w:w="1276" w:type="dxa"/>
          </w:tcPr>
          <w:p w14:paraId="02DED636"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Racer goby</w:t>
            </w:r>
          </w:p>
        </w:tc>
        <w:tc>
          <w:tcPr>
            <w:tcW w:w="1701" w:type="dxa"/>
          </w:tcPr>
          <w:p w14:paraId="02DED63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Warming</w:t>
            </w:r>
          </w:p>
        </w:tc>
        <w:tc>
          <w:tcPr>
            <w:tcW w:w="993" w:type="dxa"/>
          </w:tcPr>
          <w:p w14:paraId="02DED63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Inactive</w:t>
            </w:r>
          </w:p>
        </w:tc>
        <w:tc>
          <w:tcPr>
            <w:tcW w:w="1417" w:type="dxa"/>
          </w:tcPr>
          <w:p w14:paraId="02DED63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-0.047, </w:t>
            </w:r>
          </w:p>
          <w:p w14:paraId="02DED63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3B"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3.098, </w:t>
            </w:r>
          </w:p>
          <w:p w14:paraId="02DED63C"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3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0.034, </w:t>
            </w:r>
          </w:p>
          <w:p w14:paraId="02DED63E"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3F"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29.412</w:t>
            </w:r>
          </w:p>
        </w:tc>
      </w:tr>
      <w:tr w:rsidR="00B33FFC" w14:paraId="02DED64B" w14:textId="77777777">
        <w:tc>
          <w:tcPr>
            <w:tcW w:w="1276" w:type="dxa"/>
          </w:tcPr>
          <w:p w14:paraId="02DED641"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European bullhead</w:t>
            </w:r>
          </w:p>
        </w:tc>
        <w:tc>
          <w:tcPr>
            <w:tcW w:w="1701" w:type="dxa"/>
          </w:tcPr>
          <w:p w14:paraId="02DED64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Ambient</w:t>
            </w:r>
          </w:p>
        </w:tc>
        <w:tc>
          <w:tcPr>
            <w:tcW w:w="993" w:type="dxa"/>
          </w:tcPr>
          <w:p w14:paraId="02DED643"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Active</w:t>
            </w:r>
          </w:p>
        </w:tc>
        <w:tc>
          <w:tcPr>
            <w:tcW w:w="1417" w:type="dxa"/>
          </w:tcPr>
          <w:p w14:paraId="02DED644"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-0.051, </w:t>
            </w:r>
          </w:p>
          <w:p w14:paraId="02DED645"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46"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2.550, </w:t>
            </w:r>
          </w:p>
          <w:p w14:paraId="02DED64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4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0.048, </w:t>
            </w:r>
          </w:p>
          <w:p w14:paraId="02DED64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4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20.833</w:t>
            </w:r>
          </w:p>
        </w:tc>
      </w:tr>
      <w:tr w:rsidR="00B33FFC" w14:paraId="02DED656" w14:textId="77777777">
        <w:trPr>
          <w:trHeight w:val="536"/>
        </w:trPr>
        <w:tc>
          <w:tcPr>
            <w:tcW w:w="1276" w:type="dxa"/>
          </w:tcPr>
          <w:p w14:paraId="02DED64C"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Racer goby</w:t>
            </w:r>
          </w:p>
        </w:tc>
        <w:tc>
          <w:tcPr>
            <w:tcW w:w="1701" w:type="dxa"/>
          </w:tcPr>
          <w:p w14:paraId="02DED64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Ambient</w:t>
            </w:r>
          </w:p>
        </w:tc>
        <w:tc>
          <w:tcPr>
            <w:tcW w:w="993" w:type="dxa"/>
          </w:tcPr>
          <w:p w14:paraId="02DED64E"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Active</w:t>
            </w:r>
          </w:p>
        </w:tc>
        <w:tc>
          <w:tcPr>
            <w:tcW w:w="1417" w:type="dxa"/>
          </w:tcPr>
          <w:p w14:paraId="02DED64F"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-0.060, </w:t>
            </w:r>
          </w:p>
          <w:p w14:paraId="02DED650"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51"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3.426, </w:t>
            </w:r>
          </w:p>
          <w:p w14:paraId="02DED65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53"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0.040, </w:t>
            </w:r>
          </w:p>
          <w:p w14:paraId="02DED654"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55"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25.000</w:t>
            </w:r>
          </w:p>
        </w:tc>
      </w:tr>
      <w:tr w:rsidR="00B33FFC" w14:paraId="02DED661" w14:textId="77777777">
        <w:tc>
          <w:tcPr>
            <w:tcW w:w="1276" w:type="dxa"/>
          </w:tcPr>
          <w:p w14:paraId="02DED65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European bullhead</w:t>
            </w:r>
          </w:p>
        </w:tc>
        <w:tc>
          <w:tcPr>
            <w:tcW w:w="1701" w:type="dxa"/>
          </w:tcPr>
          <w:p w14:paraId="02DED65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Warming</w:t>
            </w:r>
          </w:p>
        </w:tc>
        <w:tc>
          <w:tcPr>
            <w:tcW w:w="993" w:type="dxa"/>
          </w:tcPr>
          <w:p w14:paraId="02DED65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Active</w:t>
            </w:r>
          </w:p>
        </w:tc>
        <w:tc>
          <w:tcPr>
            <w:tcW w:w="1417" w:type="dxa"/>
          </w:tcPr>
          <w:p w14:paraId="02DED65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-0.054, </w:t>
            </w:r>
          </w:p>
          <w:p w14:paraId="02DED65B"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5C"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1.280, </w:t>
            </w:r>
          </w:p>
          <w:p w14:paraId="02DED65D"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5E"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0.149, </w:t>
            </w:r>
          </w:p>
          <w:p w14:paraId="02DED65F"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60"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6.711</w:t>
            </w:r>
          </w:p>
        </w:tc>
      </w:tr>
      <w:tr w:rsidR="00B33FFC" w14:paraId="02DED66C" w14:textId="77777777">
        <w:tc>
          <w:tcPr>
            <w:tcW w:w="1276" w:type="dxa"/>
          </w:tcPr>
          <w:p w14:paraId="02DED662"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Racer goby</w:t>
            </w:r>
          </w:p>
        </w:tc>
        <w:tc>
          <w:tcPr>
            <w:tcW w:w="1701" w:type="dxa"/>
          </w:tcPr>
          <w:p w14:paraId="02DED663"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Warming</w:t>
            </w:r>
          </w:p>
        </w:tc>
        <w:tc>
          <w:tcPr>
            <w:tcW w:w="993" w:type="dxa"/>
          </w:tcPr>
          <w:p w14:paraId="02DED664"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Active</w:t>
            </w:r>
          </w:p>
        </w:tc>
        <w:tc>
          <w:tcPr>
            <w:tcW w:w="1417" w:type="dxa"/>
          </w:tcPr>
          <w:p w14:paraId="02DED665"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-0.087, </w:t>
            </w:r>
          </w:p>
          <w:p w14:paraId="02DED666"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 (II)</w:t>
            </w:r>
          </w:p>
        </w:tc>
        <w:tc>
          <w:tcPr>
            <w:tcW w:w="1075" w:type="dxa"/>
          </w:tcPr>
          <w:p w14:paraId="02DED66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5.120, </w:t>
            </w:r>
          </w:p>
          <w:p w14:paraId="02DED668"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193" w:type="dxa"/>
          </w:tcPr>
          <w:p w14:paraId="02DED669"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 xml:space="preserve">0.029, </w:t>
            </w:r>
          </w:p>
          <w:p w14:paraId="02DED66A"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&lt; 0.001</w:t>
            </w:r>
          </w:p>
        </w:tc>
        <w:tc>
          <w:tcPr>
            <w:tcW w:w="1342" w:type="dxa"/>
          </w:tcPr>
          <w:p w14:paraId="02DED66B"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34.483</w:t>
            </w:r>
          </w:p>
        </w:tc>
      </w:tr>
    </w:tbl>
    <w:p w14:paraId="02DED66D" w14:textId="77777777" w:rsidR="00B33FFC" w:rsidRDefault="00B33FFC">
      <w:pPr>
        <w:spacing w:line="480" w:lineRule="auto"/>
        <w:rPr>
          <w:rFonts w:ascii="Times New Roman" w:hAnsi="Times New Roman"/>
          <w:sz w:val="24"/>
          <w:szCs w:val="24"/>
        </w:rPr>
      </w:pPr>
    </w:p>
    <w:p w14:paraId="02DED66E" w14:textId="6D2C25BE" w:rsidR="00B33FFC" w:rsidRDefault="00503B38">
      <w:pPr>
        <w:spacing w:line="480" w:lineRule="auto"/>
        <w:jc w:val="center"/>
        <w:rPr>
          <w:rFonts w:ascii="Times New Roman" w:hAnsi="Times New Roman"/>
          <w:sz w:val="24"/>
          <w:szCs w:val="24"/>
        </w:rPr>
      </w:pPr>
      <w:r>
        <w:rPr>
          <w:rFonts w:ascii="Times New Roman" w:hAnsi="Times New Roman"/>
          <w:noProof/>
          <w:sz w:val="24"/>
          <w:szCs w:val="24"/>
        </w:rPr>
        <w:drawing>
          <wp:inline distT="0" distB="0" distL="0" distR="0" wp14:anchorId="5D756E76" wp14:editId="2A549E59">
            <wp:extent cx="4054475" cy="3281045"/>
            <wp:effectExtent l="0" t="0" r="3175" b="0"/>
            <wp:docPr id="1889551456"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54475" cy="3281045"/>
                    </a:xfrm>
                    <a:prstGeom prst="rect">
                      <a:avLst/>
                    </a:prstGeom>
                    <a:noFill/>
                    <a:ln>
                      <a:noFill/>
                    </a:ln>
                  </pic:spPr>
                </pic:pic>
              </a:graphicData>
            </a:graphic>
          </wp:inline>
        </w:drawing>
      </w:r>
    </w:p>
    <w:p w14:paraId="02DED66F" w14:textId="77777777" w:rsidR="00B33FFC" w:rsidRDefault="002F6BE4">
      <w:pPr>
        <w:spacing w:line="240" w:lineRule="auto"/>
        <w:rPr>
          <w:rFonts w:ascii="Times New Roman" w:hAnsi="Times New Roman"/>
          <w:sz w:val="24"/>
          <w:szCs w:val="24"/>
        </w:rPr>
      </w:pPr>
      <w:r>
        <w:rPr>
          <w:rFonts w:ascii="Times New Roman" w:hAnsi="Times New Roman"/>
          <w:b/>
          <w:sz w:val="24"/>
          <w:szCs w:val="24"/>
        </w:rPr>
        <w:t>Figure 2.</w:t>
      </w:r>
      <w:r>
        <w:rPr>
          <w:rFonts w:ascii="Times New Roman" w:hAnsi="Times New Roman"/>
          <w:sz w:val="24"/>
          <w:szCs w:val="24"/>
        </w:rPr>
        <w:t xml:space="preserve"> Functional responses of racer goby and European bullhead among temperature (15, 23 °C) and prey treatments. Lines are the fits from Rogers random predator equation, points are raw data, and grey areas are 95% non-parametric bootstrapped confidence intervals.</w:t>
      </w:r>
    </w:p>
    <w:p w14:paraId="02DED670" w14:textId="77777777" w:rsidR="00B33FFC" w:rsidRDefault="002F6BE4">
      <w:pPr>
        <w:spacing w:line="480" w:lineRule="auto"/>
        <w:ind w:firstLine="720"/>
        <w:rPr>
          <w:rFonts w:ascii="Times New Roman" w:hAnsi="Times New Roman"/>
          <w:sz w:val="24"/>
          <w:szCs w:val="24"/>
        </w:rPr>
      </w:pPr>
      <w:r>
        <w:rPr>
          <w:rFonts w:ascii="Times New Roman" w:hAnsi="Times New Roman"/>
          <w:sz w:val="24"/>
          <w:szCs w:val="24"/>
        </w:rPr>
        <w:lastRenderedPageBreak/>
        <w:t>Fish final mass was affected by the total consumption, with individuals consuming more growing at a faster rate (GLM estimate: 0.002, p = &lt;0.001). This effect was further mediated by the interaction between species, temperature and initial body mass (Table 3). Both species grew less in the elevated compared to the ambient temperature (Figure 3), and the interaction effect reflected that the negative effects of warming on growth rates were more substantial for European bullheads than racer gobies. For the invasive species, there was a difference in the mean growth rate between temperatures (p &lt; 0.001) across the entire size range, while for the European bullhead this was further mediated by the consumers’ size, as indicated by different slopes for each temperature (p &lt; 0.001). The difference in the European bullhead growth rate between the temperatures was more pronounced for smaller individuals (Figure 3). At 23</w:t>
      </w:r>
      <w:r>
        <w:rPr>
          <w:rFonts w:ascii="Times New Roman" w:hAnsi="Times New Roman"/>
          <w:sz w:val="24"/>
          <w:szCs w:val="24"/>
          <w:vertAlign w:val="superscript"/>
        </w:rPr>
        <w:t>o</w:t>
      </w:r>
      <w:r>
        <w:rPr>
          <w:rFonts w:ascii="Times New Roman" w:hAnsi="Times New Roman"/>
          <w:sz w:val="24"/>
          <w:szCs w:val="24"/>
        </w:rPr>
        <w:t>C, small individuals of the racer goby grew substantially more than small individuals of the European bullhead, but this divergence between species dampened (as indicated by the difference in slopes) with an increase in fish initial body size (Figure 3, p = 0.002). Therefore, the small individuals of the racer goby grew the most, but with further increase in the individual’s size, the body mass gain decreased, with the largest racer goby individuals showing no changes in body mass. For the European bullhead, all test individuals under a warmer temperature lost body mass over the experiment, with small individuals losing less than larger ones (Figure 3).</w:t>
      </w:r>
    </w:p>
    <w:p w14:paraId="02DED671" w14:textId="77777777" w:rsidR="00B33FFC" w:rsidRDefault="002F6BE4">
      <w:pPr>
        <w:spacing w:line="240" w:lineRule="auto"/>
        <w:rPr>
          <w:rFonts w:ascii="Times New Roman" w:hAnsi="Times New Roman"/>
          <w:sz w:val="24"/>
          <w:szCs w:val="24"/>
        </w:rPr>
      </w:pPr>
      <w:r>
        <w:rPr>
          <w:rFonts w:ascii="Times New Roman" w:hAnsi="Times New Roman"/>
          <w:b/>
          <w:sz w:val="24"/>
          <w:szCs w:val="24"/>
        </w:rPr>
        <w:t>Table 3.</w:t>
      </w:r>
      <w:r>
        <w:rPr>
          <w:rFonts w:ascii="Times New Roman" w:hAnsi="Times New Roman"/>
          <w:sz w:val="24"/>
          <w:szCs w:val="24"/>
        </w:rPr>
        <w:t xml:space="preserve"> Generalised linear model summary with type III analysis of deviance examining final fish body mass as a function of species (racer goby, European bullhead), temperature (ambient, increased), initial fish body mass and total number of prey consumed. Significant terms are in bold.</w:t>
      </w:r>
    </w:p>
    <w:tbl>
      <w:tblPr>
        <w:tblStyle w:val="a1"/>
        <w:tblW w:w="878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2"/>
        <w:gridCol w:w="1134"/>
        <w:gridCol w:w="992"/>
        <w:gridCol w:w="1276"/>
      </w:tblGrid>
      <w:tr w:rsidR="00B33FFC" w14:paraId="02DED676" w14:textId="77777777">
        <w:trPr>
          <w:trHeight w:val="315"/>
        </w:trPr>
        <w:tc>
          <w:tcPr>
            <w:tcW w:w="5382" w:type="dxa"/>
            <w:shd w:val="clear" w:color="auto" w:fill="auto"/>
          </w:tcPr>
          <w:p w14:paraId="02DED672" w14:textId="77777777" w:rsidR="00B33FFC" w:rsidRDefault="002F6BE4">
            <w:pPr>
              <w:spacing w:after="0" w:line="240" w:lineRule="auto"/>
              <w:rPr>
                <w:rFonts w:ascii="Quattrocento Sans" w:eastAsia="Quattrocento Sans" w:hAnsi="Quattrocento Sans" w:cs="Quattrocento Sans"/>
                <w:b/>
                <w:sz w:val="16"/>
                <w:szCs w:val="16"/>
              </w:rPr>
            </w:pPr>
            <w:r>
              <w:rPr>
                <w:rFonts w:ascii="Times New Roman" w:hAnsi="Times New Roman"/>
                <w:b/>
                <w:sz w:val="24"/>
                <w:szCs w:val="24"/>
              </w:rPr>
              <w:t>Term</w:t>
            </w:r>
          </w:p>
        </w:tc>
        <w:tc>
          <w:tcPr>
            <w:tcW w:w="1134" w:type="dxa"/>
          </w:tcPr>
          <w:p w14:paraId="02DED673"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Chisq</w:t>
            </w:r>
            <w:proofErr w:type="spellEnd"/>
          </w:p>
        </w:tc>
        <w:tc>
          <w:tcPr>
            <w:tcW w:w="992" w:type="dxa"/>
            <w:shd w:val="clear" w:color="auto" w:fill="auto"/>
          </w:tcPr>
          <w:p w14:paraId="02DED674" w14:textId="77777777" w:rsidR="00B33FFC" w:rsidRDefault="002F6BE4">
            <w:pPr>
              <w:spacing w:after="0" w:line="240" w:lineRule="auto"/>
              <w:rPr>
                <w:rFonts w:ascii="Quattrocento Sans" w:eastAsia="Quattrocento Sans" w:hAnsi="Quattrocento Sans" w:cs="Quattrocento Sans"/>
                <w:b/>
                <w:sz w:val="16"/>
                <w:szCs w:val="16"/>
              </w:rPr>
            </w:pPr>
            <w:proofErr w:type="spellStart"/>
            <w:r>
              <w:rPr>
                <w:rFonts w:ascii="Times New Roman" w:hAnsi="Times New Roman"/>
                <w:b/>
                <w:sz w:val="24"/>
                <w:szCs w:val="24"/>
              </w:rPr>
              <w:t>df</w:t>
            </w:r>
            <w:proofErr w:type="spellEnd"/>
          </w:p>
        </w:tc>
        <w:tc>
          <w:tcPr>
            <w:tcW w:w="1276" w:type="dxa"/>
            <w:shd w:val="clear" w:color="auto" w:fill="auto"/>
          </w:tcPr>
          <w:p w14:paraId="02DED675" w14:textId="77777777" w:rsidR="00B33FFC" w:rsidRDefault="002F6BE4">
            <w:pPr>
              <w:spacing w:after="0" w:line="240" w:lineRule="auto"/>
              <w:rPr>
                <w:rFonts w:ascii="Quattrocento Sans" w:eastAsia="Quattrocento Sans" w:hAnsi="Quattrocento Sans" w:cs="Quattrocento Sans"/>
                <w:b/>
                <w:sz w:val="16"/>
                <w:szCs w:val="16"/>
              </w:rPr>
            </w:pPr>
            <w:r>
              <w:rPr>
                <w:rFonts w:ascii="Times New Roman" w:hAnsi="Times New Roman"/>
                <w:b/>
                <w:sz w:val="24"/>
                <w:szCs w:val="24"/>
              </w:rPr>
              <w:t>p-value</w:t>
            </w:r>
          </w:p>
        </w:tc>
      </w:tr>
      <w:tr w:rsidR="00B33FFC" w14:paraId="02DED67B" w14:textId="77777777">
        <w:trPr>
          <w:trHeight w:val="315"/>
        </w:trPr>
        <w:tc>
          <w:tcPr>
            <w:tcW w:w="5382" w:type="dxa"/>
            <w:shd w:val="clear" w:color="auto" w:fill="auto"/>
          </w:tcPr>
          <w:p w14:paraId="02DED677" w14:textId="77777777" w:rsidR="00B33FFC" w:rsidRDefault="002F6BE4">
            <w:pPr>
              <w:spacing w:after="0" w:line="240" w:lineRule="auto"/>
              <w:rPr>
                <w:rFonts w:ascii="Times New Roman" w:hAnsi="Times New Roman"/>
                <w:sz w:val="24"/>
                <w:szCs w:val="24"/>
              </w:rPr>
            </w:pPr>
            <w:r>
              <w:rPr>
                <w:rFonts w:ascii="Times New Roman" w:hAnsi="Times New Roman"/>
                <w:sz w:val="24"/>
                <w:szCs w:val="24"/>
              </w:rPr>
              <w:t>Species</w:t>
            </w:r>
          </w:p>
        </w:tc>
        <w:tc>
          <w:tcPr>
            <w:tcW w:w="1134" w:type="dxa"/>
          </w:tcPr>
          <w:p w14:paraId="02DED678" w14:textId="77777777" w:rsidR="00B33FFC" w:rsidRDefault="002F6BE4">
            <w:pPr>
              <w:spacing w:after="0" w:line="240" w:lineRule="auto"/>
              <w:jc w:val="right"/>
              <w:rPr>
                <w:rFonts w:ascii="Times New Roman" w:hAnsi="Times New Roman"/>
                <w:sz w:val="24"/>
                <w:szCs w:val="24"/>
              </w:rPr>
            </w:pPr>
            <w:r>
              <w:rPr>
                <w:sz w:val="24"/>
                <w:szCs w:val="24"/>
              </w:rPr>
              <w:t>0.775</w:t>
            </w:r>
          </w:p>
        </w:tc>
        <w:tc>
          <w:tcPr>
            <w:tcW w:w="992" w:type="dxa"/>
            <w:shd w:val="clear" w:color="auto" w:fill="auto"/>
          </w:tcPr>
          <w:p w14:paraId="02DED679" w14:textId="77777777" w:rsidR="00B33FFC" w:rsidRDefault="002F6BE4">
            <w:pPr>
              <w:spacing w:after="0" w:line="240" w:lineRule="auto"/>
              <w:jc w:val="right"/>
              <w:rPr>
                <w:rFonts w:ascii="Times New Roman" w:hAnsi="Times New Roman"/>
                <w:sz w:val="24"/>
                <w:szCs w:val="24"/>
              </w:rPr>
            </w:pPr>
            <w:r>
              <w:rPr>
                <w:sz w:val="24"/>
                <w:szCs w:val="24"/>
              </w:rPr>
              <w:t>1</w:t>
            </w:r>
          </w:p>
        </w:tc>
        <w:tc>
          <w:tcPr>
            <w:tcW w:w="1276" w:type="dxa"/>
            <w:shd w:val="clear" w:color="auto" w:fill="auto"/>
          </w:tcPr>
          <w:p w14:paraId="02DED67A" w14:textId="77777777" w:rsidR="00B33FFC" w:rsidRDefault="002F6BE4">
            <w:pPr>
              <w:spacing w:after="0" w:line="240" w:lineRule="auto"/>
              <w:jc w:val="right"/>
              <w:rPr>
                <w:rFonts w:ascii="Times New Roman" w:hAnsi="Times New Roman"/>
                <w:sz w:val="24"/>
                <w:szCs w:val="24"/>
              </w:rPr>
            </w:pPr>
            <w:r>
              <w:rPr>
                <w:sz w:val="24"/>
                <w:szCs w:val="24"/>
              </w:rPr>
              <w:t>0.379</w:t>
            </w:r>
          </w:p>
        </w:tc>
      </w:tr>
      <w:tr w:rsidR="00B33FFC" w14:paraId="02DED680" w14:textId="77777777">
        <w:trPr>
          <w:trHeight w:val="315"/>
        </w:trPr>
        <w:tc>
          <w:tcPr>
            <w:tcW w:w="5382" w:type="dxa"/>
            <w:shd w:val="clear" w:color="auto" w:fill="auto"/>
          </w:tcPr>
          <w:p w14:paraId="02DED67C"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Temperature</w:t>
            </w:r>
          </w:p>
        </w:tc>
        <w:tc>
          <w:tcPr>
            <w:tcW w:w="1134" w:type="dxa"/>
          </w:tcPr>
          <w:p w14:paraId="02DED67D" w14:textId="77777777" w:rsidR="00B33FFC" w:rsidRDefault="002F6BE4">
            <w:pPr>
              <w:spacing w:after="0" w:line="240" w:lineRule="auto"/>
              <w:jc w:val="right"/>
              <w:rPr>
                <w:rFonts w:ascii="Times New Roman" w:hAnsi="Times New Roman"/>
                <w:b/>
                <w:sz w:val="24"/>
                <w:szCs w:val="24"/>
              </w:rPr>
            </w:pPr>
            <w:r>
              <w:rPr>
                <w:b/>
                <w:sz w:val="24"/>
                <w:szCs w:val="24"/>
              </w:rPr>
              <w:t>25.622</w:t>
            </w:r>
          </w:p>
        </w:tc>
        <w:tc>
          <w:tcPr>
            <w:tcW w:w="992" w:type="dxa"/>
            <w:shd w:val="clear" w:color="auto" w:fill="auto"/>
          </w:tcPr>
          <w:p w14:paraId="02DED67E" w14:textId="77777777" w:rsidR="00B33FFC" w:rsidRDefault="002F6BE4">
            <w:pPr>
              <w:spacing w:after="0" w:line="240" w:lineRule="auto"/>
              <w:jc w:val="right"/>
              <w:rPr>
                <w:rFonts w:ascii="Times New Roman" w:hAnsi="Times New Roman"/>
                <w:b/>
                <w:sz w:val="24"/>
                <w:szCs w:val="24"/>
              </w:rPr>
            </w:pPr>
            <w:r>
              <w:rPr>
                <w:b/>
                <w:sz w:val="24"/>
                <w:szCs w:val="24"/>
              </w:rPr>
              <w:t>1</w:t>
            </w:r>
          </w:p>
        </w:tc>
        <w:tc>
          <w:tcPr>
            <w:tcW w:w="1276" w:type="dxa"/>
            <w:shd w:val="clear" w:color="auto" w:fill="auto"/>
          </w:tcPr>
          <w:p w14:paraId="02DED67F" w14:textId="77777777" w:rsidR="00B33FFC" w:rsidRDefault="002F6BE4">
            <w:pPr>
              <w:spacing w:after="0" w:line="240" w:lineRule="auto"/>
              <w:jc w:val="right"/>
              <w:rPr>
                <w:rFonts w:ascii="Times New Roman" w:hAnsi="Times New Roman"/>
                <w:b/>
                <w:sz w:val="24"/>
                <w:szCs w:val="24"/>
              </w:rPr>
            </w:pPr>
            <w:r>
              <w:rPr>
                <w:b/>
                <w:sz w:val="24"/>
                <w:szCs w:val="24"/>
              </w:rPr>
              <w:t>&lt;0.001</w:t>
            </w:r>
          </w:p>
        </w:tc>
      </w:tr>
      <w:tr w:rsidR="00B33FFC" w14:paraId="02DED685" w14:textId="77777777">
        <w:trPr>
          <w:trHeight w:val="315"/>
        </w:trPr>
        <w:tc>
          <w:tcPr>
            <w:tcW w:w="5382" w:type="dxa"/>
            <w:shd w:val="clear" w:color="auto" w:fill="auto"/>
          </w:tcPr>
          <w:p w14:paraId="02DED681"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Initial body mass</w:t>
            </w:r>
          </w:p>
        </w:tc>
        <w:tc>
          <w:tcPr>
            <w:tcW w:w="1134" w:type="dxa"/>
          </w:tcPr>
          <w:p w14:paraId="02DED682" w14:textId="77777777" w:rsidR="00B33FFC" w:rsidRDefault="002F6BE4">
            <w:pPr>
              <w:spacing w:after="0" w:line="240" w:lineRule="auto"/>
              <w:jc w:val="right"/>
              <w:rPr>
                <w:rFonts w:ascii="Times New Roman" w:hAnsi="Times New Roman"/>
                <w:b/>
                <w:sz w:val="24"/>
                <w:szCs w:val="24"/>
              </w:rPr>
            </w:pPr>
            <w:r>
              <w:rPr>
                <w:b/>
                <w:sz w:val="24"/>
                <w:szCs w:val="24"/>
              </w:rPr>
              <w:t>466.382</w:t>
            </w:r>
          </w:p>
        </w:tc>
        <w:tc>
          <w:tcPr>
            <w:tcW w:w="992" w:type="dxa"/>
            <w:shd w:val="clear" w:color="auto" w:fill="auto"/>
          </w:tcPr>
          <w:p w14:paraId="02DED683" w14:textId="77777777" w:rsidR="00B33FFC" w:rsidRDefault="002F6BE4">
            <w:pPr>
              <w:spacing w:after="0" w:line="240" w:lineRule="auto"/>
              <w:jc w:val="right"/>
              <w:rPr>
                <w:rFonts w:ascii="Times New Roman" w:hAnsi="Times New Roman"/>
                <w:b/>
                <w:sz w:val="24"/>
                <w:szCs w:val="24"/>
              </w:rPr>
            </w:pPr>
            <w:r>
              <w:rPr>
                <w:b/>
                <w:sz w:val="24"/>
                <w:szCs w:val="24"/>
              </w:rPr>
              <w:t>1</w:t>
            </w:r>
          </w:p>
        </w:tc>
        <w:tc>
          <w:tcPr>
            <w:tcW w:w="1276" w:type="dxa"/>
            <w:shd w:val="clear" w:color="auto" w:fill="auto"/>
          </w:tcPr>
          <w:p w14:paraId="02DED684" w14:textId="77777777" w:rsidR="00B33FFC" w:rsidRDefault="002F6BE4">
            <w:pPr>
              <w:spacing w:after="0" w:line="240" w:lineRule="auto"/>
              <w:jc w:val="right"/>
              <w:rPr>
                <w:rFonts w:ascii="Times New Roman" w:hAnsi="Times New Roman"/>
                <w:b/>
                <w:sz w:val="24"/>
                <w:szCs w:val="24"/>
              </w:rPr>
            </w:pPr>
            <w:r>
              <w:rPr>
                <w:b/>
                <w:sz w:val="24"/>
                <w:szCs w:val="24"/>
              </w:rPr>
              <w:t>&lt;0.001</w:t>
            </w:r>
          </w:p>
        </w:tc>
      </w:tr>
      <w:tr w:rsidR="00B33FFC" w14:paraId="02DED68A" w14:textId="77777777">
        <w:trPr>
          <w:trHeight w:val="315"/>
        </w:trPr>
        <w:tc>
          <w:tcPr>
            <w:tcW w:w="5382" w:type="dxa"/>
            <w:shd w:val="clear" w:color="auto" w:fill="auto"/>
          </w:tcPr>
          <w:p w14:paraId="02DED686" w14:textId="77777777" w:rsidR="00B33FFC" w:rsidRDefault="002F6BE4">
            <w:pPr>
              <w:spacing w:after="0" w:line="240" w:lineRule="auto"/>
              <w:rPr>
                <w:rFonts w:ascii="Times New Roman" w:hAnsi="Times New Roman"/>
                <w:b/>
                <w:sz w:val="24"/>
                <w:szCs w:val="24"/>
              </w:rPr>
            </w:pPr>
            <w:r>
              <w:rPr>
                <w:rFonts w:ascii="Times New Roman" w:hAnsi="Times New Roman"/>
                <w:b/>
                <w:sz w:val="24"/>
                <w:szCs w:val="24"/>
              </w:rPr>
              <w:t>Total consumption</w:t>
            </w:r>
          </w:p>
        </w:tc>
        <w:tc>
          <w:tcPr>
            <w:tcW w:w="1134" w:type="dxa"/>
          </w:tcPr>
          <w:p w14:paraId="02DED687" w14:textId="77777777" w:rsidR="00B33FFC" w:rsidRDefault="002F6BE4">
            <w:pPr>
              <w:spacing w:after="0" w:line="240" w:lineRule="auto"/>
              <w:jc w:val="right"/>
              <w:rPr>
                <w:rFonts w:ascii="Times New Roman" w:hAnsi="Times New Roman"/>
                <w:b/>
                <w:sz w:val="24"/>
                <w:szCs w:val="24"/>
              </w:rPr>
            </w:pPr>
            <w:r>
              <w:rPr>
                <w:b/>
                <w:sz w:val="24"/>
                <w:szCs w:val="24"/>
              </w:rPr>
              <w:t>28.655</w:t>
            </w:r>
          </w:p>
        </w:tc>
        <w:tc>
          <w:tcPr>
            <w:tcW w:w="992" w:type="dxa"/>
            <w:shd w:val="clear" w:color="auto" w:fill="auto"/>
          </w:tcPr>
          <w:p w14:paraId="02DED688" w14:textId="77777777" w:rsidR="00B33FFC" w:rsidRDefault="002F6BE4">
            <w:pPr>
              <w:spacing w:after="0" w:line="240" w:lineRule="auto"/>
              <w:jc w:val="right"/>
              <w:rPr>
                <w:rFonts w:ascii="Times New Roman" w:hAnsi="Times New Roman"/>
                <w:b/>
                <w:sz w:val="24"/>
                <w:szCs w:val="24"/>
              </w:rPr>
            </w:pPr>
            <w:r>
              <w:rPr>
                <w:b/>
                <w:sz w:val="24"/>
                <w:szCs w:val="24"/>
              </w:rPr>
              <w:t>1</w:t>
            </w:r>
          </w:p>
        </w:tc>
        <w:tc>
          <w:tcPr>
            <w:tcW w:w="1276" w:type="dxa"/>
            <w:shd w:val="clear" w:color="auto" w:fill="auto"/>
          </w:tcPr>
          <w:p w14:paraId="02DED689" w14:textId="77777777" w:rsidR="00B33FFC" w:rsidRDefault="002F6BE4">
            <w:pPr>
              <w:spacing w:after="0" w:line="240" w:lineRule="auto"/>
              <w:jc w:val="right"/>
              <w:rPr>
                <w:rFonts w:ascii="Times New Roman" w:hAnsi="Times New Roman"/>
                <w:b/>
                <w:sz w:val="24"/>
                <w:szCs w:val="24"/>
              </w:rPr>
            </w:pPr>
            <w:r>
              <w:rPr>
                <w:b/>
                <w:sz w:val="24"/>
                <w:szCs w:val="24"/>
              </w:rPr>
              <w:t>&lt;0.001</w:t>
            </w:r>
          </w:p>
        </w:tc>
      </w:tr>
      <w:tr w:rsidR="00B33FFC" w14:paraId="02DED68F" w14:textId="77777777">
        <w:trPr>
          <w:trHeight w:val="315"/>
        </w:trPr>
        <w:tc>
          <w:tcPr>
            <w:tcW w:w="5382" w:type="dxa"/>
            <w:shd w:val="clear" w:color="auto" w:fill="auto"/>
            <w:vAlign w:val="center"/>
          </w:tcPr>
          <w:p w14:paraId="02DED68B" w14:textId="77777777" w:rsidR="00B33FFC" w:rsidRDefault="002F6BE4">
            <w:pPr>
              <w:spacing w:after="0" w:line="240" w:lineRule="auto"/>
              <w:rPr>
                <w:rFonts w:ascii="Times New Roman" w:hAnsi="Times New Roman"/>
                <w:sz w:val="24"/>
                <w:szCs w:val="24"/>
              </w:rPr>
            </w:pPr>
            <w:proofErr w:type="spellStart"/>
            <w:r>
              <w:rPr>
                <w:rFonts w:ascii="Times New Roman" w:hAnsi="Times New Roman"/>
                <w:sz w:val="24"/>
                <w:szCs w:val="24"/>
              </w:rPr>
              <w:t>Species:Temperature</w:t>
            </w:r>
            <w:proofErr w:type="spellEnd"/>
          </w:p>
        </w:tc>
        <w:tc>
          <w:tcPr>
            <w:tcW w:w="1134" w:type="dxa"/>
          </w:tcPr>
          <w:p w14:paraId="02DED68C" w14:textId="77777777" w:rsidR="00B33FFC" w:rsidRDefault="002F6BE4">
            <w:pPr>
              <w:spacing w:after="0" w:line="240" w:lineRule="auto"/>
              <w:jc w:val="right"/>
              <w:rPr>
                <w:rFonts w:ascii="Times New Roman" w:hAnsi="Times New Roman"/>
                <w:sz w:val="24"/>
                <w:szCs w:val="24"/>
              </w:rPr>
            </w:pPr>
            <w:r>
              <w:rPr>
                <w:sz w:val="24"/>
                <w:szCs w:val="24"/>
              </w:rPr>
              <w:t>2.036</w:t>
            </w:r>
          </w:p>
        </w:tc>
        <w:tc>
          <w:tcPr>
            <w:tcW w:w="992" w:type="dxa"/>
            <w:shd w:val="clear" w:color="auto" w:fill="auto"/>
          </w:tcPr>
          <w:p w14:paraId="02DED68D" w14:textId="77777777" w:rsidR="00B33FFC" w:rsidRDefault="002F6BE4">
            <w:pPr>
              <w:spacing w:after="0" w:line="240" w:lineRule="auto"/>
              <w:jc w:val="right"/>
              <w:rPr>
                <w:rFonts w:ascii="Times New Roman" w:hAnsi="Times New Roman"/>
                <w:sz w:val="24"/>
                <w:szCs w:val="24"/>
              </w:rPr>
            </w:pPr>
            <w:r>
              <w:rPr>
                <w:sz w:val="24"/>
                <w:szCs w:val="24"/>
              </w:rPr>
              <w:t>1</w:t>
            </w:r>
          </w:p>
        </w:tc>
        <w:tc>
          <w:tcPr>
            <w:tcW w:w="1276" w:type="dxa"/>
            <w:shd w:val="clear" w:color="auto" w:fill="auto"/>
          </w:tcPr>
          <w:p w14:paraId="02DED68E" w14:textId="77777777" w:rsidR="00B33FFC" w:rsidRDefault="002F6BE4">
            <w:pPr>
              <w:spacing w:after="0" w:line="240" w:lineRule="auto"/>
              <w:jc w:val="right"/>
              <w:rPr>
                <w:rFonts w:ascii="Times New Roman" w:hAnsi="Times New Roman"/>
                <w:sz w:val="24"/>
                <w:szCs w:val="24"/>
              </w:rPr>
            </w:pPr>
            <w:r>
              <w:rPr>
                <w:sz w:val="24"/>
                <w:szCs w:val="24"/>
              </w:rPr>
              <w:t>0.154</w:t>
            </w:r>
          </w:p>
        </w:tc>
      </w:tr>
      <w:tr w:rsidR="00B33FFC" w14:paraId="02DED694" w14:textId="77777777">
        <w:trPr>
          <w:trHeight w:val="315"/>
        </w:trPr>
        <w:tc>
          <w:tcPr>
            <w:tcW w:w="5382" w:type="dxa"/>
            <w:shd w:val="clear" w:color="auto" w:fill="auto"/>
            <w:vAlign w:val="center"/>
          </w:tcPr>
          <w:p w14:paraId="02DED690" w14:textId="77777777" w:rsidR="00B33FFC" w:rsidRDefault="002F6BE4">
            <w:pPr>
              <w:spacing w:after="0" w:line="240" w:lineRule="auto"/>
              <w:rPr>
                <w:rFonts w:ascii="Times New Roman" w:hAnsi="Times New Roman"/>
                <w:sz w:val="24"/>
                <w:szCs w:val="24"/>
              </w:rPr>
            </w:pPr>
            <w:proofErr w:type="spellStart"/>
            <w:r>
              <w:rPr>
                <w:rFonts w:ascii="Times New Roman" w:hAnsi="Times New Roman"/>
                <w:sz w:val="24"/>
                <w:szCs w:val="24"/>
              </w:rPr>
              <w:t>Species:Initial</w:t>
            </w:r>
            <w:proofErr w:type="spellEnd"/>
            <w:r>
              <w:rPr>
                <w:rFonts w:ascii="Times New Roman" w:hAnsi="Times New Roman"/>
                <w:sz w:val="24"/>
                <w:szCs w:val="24"/>
              </w:rPr>
              <w:t xml:space="preserve"> body mass</w:t>
            </w:r>
          </w:p>
        </w:tc>
        <w:tc>
          <w:tcPr>
            <w:tcW w:w="1134" w:type="dxa"/>
          </w:tcPr>
          <w:p w14:paraId="02DED691" w14:textId="77777777" w:rsidR="00B33FFC" w:rsidRDefault="002F6BE4">
            <w:pPr>
              <w:spacing w:after="0" w:line="240" w:lineRule="auto"/>
              <w:jc w:val="right"/>
              <w:rPr>
                <w:rFonts w:ascii="Times New Roman" w:hAnsi="Times New Roman"/>
                <w:sz w:val="24"/>
                <w:szCs w:val="24"/>
              </w:rPr>
            </w:pPr>
            <w:r>
              <w:rPr>
                <w:sz w:val="24"/>
                <w:szCs w:val="24"/>
              </w:rPr>
              <w:t>0.001</w:t>
            </w:r>
          </w:p>
        </w:tc>
        <w:tc>
          <w:tcPr>
            <w:tcW w:w="992" w:type="dxa"/>
            <w:shd w:val="clear" w:color="auto" w:fill="auto"/>
          </w:tcPr>
          <w:p w14:paraId="02DED692" w14:textId="77777777" w:rsidR="00B33FFC" w:rsidRDefault="002F6BE4">
            <w:pPr>
              <w:spacing w:after="0" w:line="240" w:lineRule="auto"/>
              <w:jc w:val="right"/>
              <w:rPr>
                <w:rFonts w:ascii="Times New Roman" w:hAnsi="Times New Roman"/>
                <w:sz w:val="24"/>
                <w:szCs w:val="24"/>
              </w:rPr>
            </w:pPr>
            <w:r>
              <w:rPr>
                <w:sz w:val="24"/>
                <w:szCs w:val="24"/>
              </w:rPr>
              <w:t>1</w:t>
            </w:r>
          </w:p>
        </w:tc>
        <w:tc>
          <w:tcPr>
            <w:tcW w:w="1276" w:type="dxa"/>
            <w:shd w:val="clear" w:color="auto" w:fill="auto"/>
          </w:tcPr>
          <w:p w14:paraId="02DED693" w14:textId="77777777" w:rsidR="00B33FFC" w:rsidRDefault="002F6BE4">
            <w:pPr>
              <w:spacing w:after="0" w:line="240" w:lineRule="auto"/>
              <w:jc w:val="right"/>
              <w:rPr>
                <w:rFonts w:ascii="Times New Roman" w:hAnsi="Times New Roman"/>
                <w:sz w:val="24"/>
                <w:szCs w:val="24"/>
              </w:rPr>
            </w:pPr>
            <w:r>
              <w:rPr>
                <w:sz w:val="24"/>
                <w:szCs w:val="24"/>
              </w:rPr>
              <w:t>0.972</w:t>
            </w:r>
          </w:p>
        </w:tc>
      </w:tr>
      <w:tr w:rsidR="00B33FFC" w14:paraId="02DED699" w14:textId="77777777">
        <w:trPr>
          <w:trHeight w:val="315"/>
        </w:trPr>
        <w:tc>
          <w:tcPr>
            <w:tcW w:w="5382" w:type="dxa"/>
            <w:shd w:val="clear" w:color="auto" w:fill="auto"/>
            <w:vAlign w:val="center"/>
          </w:tcPr>
          <w:p w14:paraId="02DED695"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lastRenderedPageBreak/>
              <w:t>Temperature:Initial</w:t>
            </w:r>
            <w:proofErr w:type="spellEnd"/>
            <w:r>
              <w:rPr>
                <w:rFonts w:ascii="Times New Roman" w:hAnsi="Times New Roman"/>
                <w:b/>
                <w:sz w:val="24"/>
                <w:szCs w:val="24"/>
              </w:rPr>
              <w:t xml:space="preserve"> body mass</w:t>
            </w:r>
          </w:p>
        </w:tc>
        <w:tc>
          <w:tcPr>
            <w:tcW w:w="1134" w:type="dxa"/>
          </w:tcPr>
          <w:p w14:paraId="02DED696" w14:textId="77777777" w:rsidR="00B33FFC" w:rsidRDefault="002F6BE4">
            <w:pPr>
              <w:spacing w:after="0" w:line="240" w:lineRule="auto"/>
              <w:jc w:val="right"/>
              <w:rPr>
                <w:rFonts w:ascii="Times New Roman" w:hAnsi="Times New Roman"/>
                <w:b/>
                <w:sz w:val="24"/>
                <w:szCs w:val="24"/>
              </w:rPr>
            </w:pPr>
            <w:r>
              <w:rPr>
                <w:b/>
                <w:sz w:val="24"/>
                <w:szCs w:val="24"/>
              </w:rPr>
              <w:t>16.731</w:t>
            </w:r>
          </w:p>
        </w:tc>
        <w:tc>
          <w:tcPr>
            <w:tcW w:w="992" w:type="dxa"/>
            <w:shd w:val="clear" w:color="auto" w:fill="auto"/>
          </w:tcPr>
          <w:p w14:paraId="02DED697" w14:textId="77777777" w:rsidR="00B33FFC" w:rsidRDefault="002F6BE4">
            <w:pPr>
              <w:spacing w:after="0" w:line="240" w:lineRule="auto"/>
              <w:jc w:val="right"/>
              <w:rPr>
                <w:rFonts w:ascii="Times New Roman" w:hAnsi="Times New Roman"/>
                <w:b/>
                <w:sz w:val="24"/>
                <w:szCs w:val="24"/>
              </w:rPr>
            </w:pPr>
            <w:r>
              <w:rPr>
                <w:b/>
                <w:sz w:val="24"/>
                <w:szCs w:val="24"/>
              </w:rPr>
              <w:t>1</w:t>
            </w:r>
          </w:p>
        </w:tc>
        <w:tc>
          <w:tcPr>
            <w:tcW w:w="1276" w:type="dxa"/>
            <w:shd w:val="clear" w:color="auto" w:fill="auto"/>
          </w:tcPr>
          <w:p w14:paraId="02DED698" w14:textId="77777777" w:rsidR="00B33FFC" w:rsidRDefault="002F6BE4">
            <w:pPr>
              <w:spacing w:after="0" w:line="240" w:lineRule="auto"/>
              <w:jc w:val="right"/>
              <w:rPr>
                <w:rFonts w:ascii="Times New Roman" w:hAnsi="Times New Roman"/>
                <w:b/>
                <w:sz w:val="24"/>
                <w:szCs w:val="24"/>
              </w:rPr>
            </w:pPr>
            <w:r>
              <w:rPr>
                <w:b/>
                <w:sz w:val="24"/>
                <w:szCs w:val="24"/>
              </w:rPr>
              <w:t>&lt;0.001</w:t>
            </w:r>
          </w:p>
        </w:tc>
      </w:tr>
      <w:tr w:rsidR="00B33FFC" w14:paraId="02DED69E" w14:textId="77777777">
        <w:trPr>
          <w:trHeight w:val="315"/>
        </w:trPr>
        <w:tc>
          <w:tcPr>
            <w:tcW w:w="5382" w:type="dxa"/>
            <w:shd w:val="clear" w:color="auto" w:fill="auto"/>
            <w:vAlign w:val="center"/>
          </w:tcPr>
          <w:p w14:paraId="02DED69A" w14:textId="77777777" w:rsidR="00B33FFC" w:rsidRDefault="002F6BE4">
            <w:pPr>
              <w:spacing w:after="0" w:line="240" w:lineRule="auto"/>
              <w:rPr>
                <w:rFonts w:ascii="Times New Roman" w:hAnsi="Times New Roman"/>
                <w:b/>
                <w:sz w:val="24"/>
                <w:szCs w:val="24"/>
              </w:rPr>
            </w:pPr>
            <w:proofErr w:type="spellStart"/>
            <w:r>
              <w:rPr>
                <w:rFonts w:ascii="Times New Roman" w:hAnsi="Times New Roman"/>
                <w:b/>
                <w:sz w:val="24"/>
                <w:szCs w:val="24"/>
              </w:rPr>
              <w:t>Species:Temperature:Initial</w:t>
            </w:r>
            <w:proofErr w:type="spellEnd"/>
            <w:r>
              <w:rPr>
                <w:rFonts w:ascii="Times New Roman" w:hAnsi="Times New Roman"/>
                <w:b/>
                <w:sz w:val="24"/>
                <w:szCs w:val="24"/>
              </w:rPr>
              <w:t xml:space="preserve"> body mass</w:t>
            </w:r>
          </w:p>
        </w:tc>
        <w:tc>
          <w:tcPr>
            <w:tcW w:w="1134" w:type="dxa"/>
          </w:tcPr>
          <w:p w14:paraId="02DED69B" w14:textId="77777777" w:rsidR="00B33FFC" w:rsidRDefault="002F6BE4">
            <w:pPr>
              <w:spacing w:after="0" w:line="240" w:lineRule="auto"/>
              <w:jc w:val="right"/>
              <w:rPr>
                <w:rFonts w:ascii="Times New Roman" w:hAnsi="Times New Roman"/>
                <w:b/>
                <w:sz w:val="24"/>
                <w:szCs w:val="24"/>
              </w:rPr>
            </w:pPr>
            <w:r>
              <w:rPr>
                <w:b/>
                <w:sz w:val="24"/>
                <w:szCs w:val="24"/>
              </w:rPr>
              <w:t>7.770</w:t>
            </w:r>
          </w:p>
        </w:tc>
        <w:tc>
          <w:tcPr>
            <w:tcW w:w="992" w:type="dxa"/>
            <w:shd w:val="clear" w:color="auto" w:fill="auto"/>
          </w:tcPr>
          <w:p w14:paraId="02DED69C" w14:textId="77777777" w:rsidR="00B33FFC" w:rsidRDefault="002F6BE4">
            <w:pPr>
              <w:spacing w:after="0" w:line="240" w:lineRule="auto"/>
              <w:jc w:val="right"/>
              <w:rPr>
                <w:rFonts w:ascii="Times New Roman" w:hAnsi="Times New Roman"/>
                <w:b/>
                <w:sz w:val="24"/>
                <w:szCs w:val="24"/>
              </w:rPr>
            </w:pPr>
            <w:r>
              <w:rPr>
                <w:b/>
                <w:sz w:val="24"/>
                <w:szCs w:val="24"/>
              </w:rPr>
              <w:t>1</w:t>
            </w:r>
          </w:p>
        </w:tc>
        <w:tc>
          <w:tcPr>
            <w:tcW w:w="1276" w:type="dxa"/>
            <w:shd w:val="clear" w:color="auto" w:fill="auto"/>
          </w:tcPr>
          <w:p w14:paraId="02DED69D" w14:textId="77777777" w:rsidR="00B33FFC" w:rsidRDefault="002F6BE4">
            <w:pPr>
              <w:spacing w:after="0" w:line="240" w:lineRule="auto"/>
              <w:jc w:val="right"/>
              <w:rPr>
                <w:rFonts w:ascii="Times New Roman" w:hAnsi="Times New Roman"/>
                <w:b/>
                <w:sz w:val="24"/>
                <w:szCs w:val="24"/>
              </w:rPr>
            </w:pPr>
            <w:r>
              <w:rPr>
                <w:b/>
                <w:sz w:val="24"/>
                <w:szCs w:val="24"/>
              </w:rPr>
              <w:t>0.005</w:t>
            </w:r>
          </w:p>
        </w:tc>
      </w:tr>
    </w:tbl>
    <w:p w14:paraId="02DED69F" w14:textId="77777777" w:rsidR="00B33FFC" w:rsidRDefault="00B33FFC">
      <w:pPr>
        <w:spacing w:line="480" w:lineRule="auto"/>
        <w:rPr>
          <w:rFonts w:ascii="Times New Roman" w:hAnsi="Times New Roman"/>
          <w:b/>
          <w:sz w:val="24"/>
          <w:szCs w:val="24"/>
        </w:rPr>
      </w:pPr>
    </w:p>
    <w:p w14:paraId="02DED6A0" w14:textId="77777777" w:rsidR="00B33FFC" w:rsidRDefault="002F6BE4">
      <w:pPr>
        <w:spacing w:line="480" w:lineRule="auto"/>
        <w:rPr>
          <w:rFonts w:ascii="Times New Roman" w:hAnsi="Times New Roman"/>
          <w:b/>
          <w:sz w:val="24"/>
          <w:szCs w:val="24"/>
        </w:rPr>
      </w:pPr>
      <w:r>
        <w:rPr>
          <w:rFonts w:ascii="Times New Roman" w:hAnsi="Times New Roman"/>
          <w:b/>
          <w:noProof/>
          <w:sz w:val="24"/>
          <w:szCs w:val="24"/>
        </w:rPr>
        <w:drawing>
          <wp:inline distT="114300" distB="114300" distL="114300" distR="114300" wp14:anchorId="02DED70F" wp14:editId="02DED710">
            <wp:extent cx="5580205" cy="3352800"/>
            <wp:effectExtent l="0" t="0" r="0" b="0"/>
            <wp:docPr id="19504440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580205" cy="3352800"/>
                    </a:xfrm>
                    <a:prstGeom prst="rect">
                      <a:avLst/>
                    </a:prstGeom>
                    <a:ln/>
                  </pic:spPr>
                </pic:pic>
              </a:graphicData>
            </a:graphic>
          </wp:inline>
        </w:drawing>
      </w:r>
    </w:p>
    <w:p w14:paraId="02DED6A1" w14:textId="77777777" w:rsidR="00B33FFC" w:rsidRDefault="002F6BE4">
      <w:pPr>
        <w:spacing w:line="240" w:lineRule="auto"/>
        <w:rPr>
          <w:rFonts w:ascii="Times New Roman" w:hAnsi="Times New Roman"/>
          <w:sz w:val="24"/>
          <w:szCs w:val="24"/>
        </w:rPr>
      </w:pPr>
      <w:r>
        <w:rPr>
          <w:rFonts w:ascii="Times New Roman" w:hAnsi="Times New Roman"/>
          <w:b/>
          <w:sz w:val="24"/>
          <w:szCs w:val="24"/>
        </w:rPr>
        <w:t>Figure 3.</w:t>
      </w:r>
      <w:r>
        <w:rPr>
          <w:rFonts w:ascii="Times New Roman" w:hAnsi="Times New Roman"/>
          <w:sz w:val="24"/>
          <w:szCs w:val="24"/>
        </w:rPr>
        <w:t xml:space="preserve"> Fish final/initial body mass throughout the experiment. Points represent raw data. Lines represent fits from the linear model and shaded areas correspond to 95% confidence intervals for the significant interaction among predator species, temperature and initial body mass (Table 3). The grey solid line represents no change in fish body mass throughout the experiment: points below the line indicate body mass loss, and points above indicate mass gain.</w:t>
      </w:r>
    </w:p>
    <w:p w14:paraId="02DED6A2" w14:textId="77777777" w:rsidR="00B33FFC" w:rsidRDefault="00B33FFC">
      <w:pPr>
        <w:spacing w:line="480" w:lineRule="auto"/>
        <w:rPr>
          <w:rFonts w:ascii="Times New Roman" w:hAnsi="Times New Roman"/>
          <w:sz w:val="24"/>
          <w:szCs w:val="24"/>
        </w:rPr>
      </w:pPr>
    </w:p>
    <w:p w14:paraId="02DED6A3" w14:textId="77777777" w:rsidR="00B33FFC" w:rsidRDefault="002F6BE4">
      <w:pPr>
        <w:spacing w:line="480" w:lineRule="auto"/>
        <w:rPr>
          <w:rFonts w:ascii="Times New Roman" w:hAnsi="Times New Roman"/>
          <w:sz w:val="24"/>
          <w:szCs w:val="24"/>
        </w:rPr>
      </w:pPr>
      <w:r>
        <w:rPr>
          <w:rFonts w:ascii="Times New Roman" w:hAnsi="Times New Roman"/>
          <w:sz w:val="24"/>
          <w:szCs w:val="24"/>
        </w:rPr>
        <w:t>Discussion</w:t>
      </w:r>
    </w:p>
    <w:p w14:paraId="02DED6A4" w14:textId="77777777" w:rsidR="00B33FFC" w:rsidRDefault="002F6BE4">
      <w:pPr>
        <w:spacing w:line="480" w:lineRule="auto"/>
        <w:rPr>
          <w:rFonts w:ascii="Times New Roman" w:hAnsi="Times New Roman"/>
          <w:sz w:val="24"/>
          <w:szCs w:val="24"/>
          <w:highlight w:val="white"/>
        </w:rPr>
      </w:pPr>
      <w:r>
        <w:rPr>
          <w:rFonts w:ascii="Times New Roman" w:hAnsi="Times New Roman"/>
          <w:sz w:val="24"/>
          <w:szCs w:val="24"/>
        </w:rPr>
        <w:t xml:space="preserve">We </w:t>
      </w:r>
      <w:r>
        <w:rPr>
          <w:rFonts w:ascii="Times New Roman" w:hAnsi="Times New Roman"/>
          <w:sz w:val="24"/>
          <w:szCs w:val="24"/>
          <w:highlight w:val="white"/>
        </w:rPr>
        <w:t xml:space="preserve">investigated the combined effects of body mass, prey traits, and elevated temperature on the foraging efficiency and growth rates of invasive and native species in freshwaters. Our results support the hypothesis that they respond differently to a temperature increase in terms of foraging efficiency, which further translated to differences in growth between the species. We also provide evidence that size-dependent sensitivity of tested individuals to elevated temperature was species-specific, and active prey were consumed more </w:t>
      </w:r>
      <w:r>
        <w:rPr>
          <w:rFonts w:ascii="Times New Roman" w:hAnsi="Times New Roman"/>
          <w:sz w:val="24"/>
          <w:szCs w:val="24"/>
          <w:highlight w:val="white"/>
        </w:rPr>
        <w:lastRenderedPageBreak/>
        <w:t>intensively than inactive ones. These results demonstrate that global warming can shift both the demography and trophic interactions of ecological communities in intertwined ways, with improved performance by non-native species in our model system.</w:t>
      </w:r>
    </w:p>
    <w:p w14:paraId="02DED6A5" w14:textId="77777777" w:rsidR="00B33FFC" w:rsidRDefault="002F6BE4">
      <w:pPr>
        <w:spacing w:line="480" w:lineRule="auto"/>
        <w:rPr>
          <w:rFonts w:ascii="Times New Roman" w:hAnsi="Times New Roman"/>
          <w:i/>
          <w:sz w:val="24"/>
          <w:szCs w:val="24"/>
          <w:highlight w:val="white"/>
        </w:rPr>
      </w:pPr>
      <w:r>
        <w:rPr>
          <w:rFonts w:ascii="Times New Roman" w:hAnsi="Times New Roman"/>
          <w:i/>
          <w:sz w:val="24"/>
          <w:szCs w:val="24"/>
          <w:highlight w:val="white"/>
        </w:rPr>
        <w:t>Foraging efficiency</w:t>
      </w:r>
    </w:p>
    <w:p w14:paraId="02DED6A6" w14:textId="77777777" w:rsidR="00B33FFC" w:rsidRDefault="002F6BE4">
      <w:pPr>
        <w:spacing w:after="0" w:line="480" w:lineRule="auto"/>
        <w:rPr>
          <w:rFonts w:ascii="Times New Roman" w:hAnsi="Times New Roman"/>
          <w:sz w:val="24"/>
          <w:szCs w:val="24"/>
          <w:highlight w:val="white"/>
        </w:rPr>
      </w:pPr>
      <w:r>
        <w:rPr>
          <w:rFonts w:ascii="Times New Roman" w:hAnsi="Times New Roman"/>
          <w:sz w:val="24"/>
          <w:szCs w:val="24"/>
          <w:highlight w:val="white"/>
        </w:rPr>
        <w:t xml:space="preserve">Despite the invasive species individuals being smaller overall, they always consumed more prey than the natives and this divergence was greater at higher temperature. Both the feeding rate and foraging efficiency of the invasive species were enhanced by the increase in temperature, while the opposite was shown for the native comparator. Specifically, the invasive species increased its foraging activity, which was indicated by the lower handling times facing both prey types and a higher attack rate facing active prey. This result is in line with other studies showing positive effects of elevated temperature on invasive species foraging (e.g. reviews by Dick et al. 2017, Faria et al. 2023), as they usually have higher thermal optima and can thus increase their performance along a rising temperature gradient. However, previous studies have not explicitly accounted for the effects of differential prey characteristics or consumer body size in assessments of temperature effects on invaded communities. Meanwhile, the native species decreased its feeding rate and foraging efficiency in response to temperature increase. This could be explained by lower foraging activity indicated by lower attack rates and higher handling times, or a strategy of limited food intake to reduce energy used for digestive processes (“aerobic scope protection” concept, </w:t>
      </w:r>
      <w:proofErr w:type="spellStart"/>
      <w:r>
        <w:rPr>
          <w:rFonts w:ascii="Times New Roman" w:hAnsi="Times New Roman"/>
          <w:sz w:val="24"/>
          <w:szCs w:val="24"/>
          <w:highlight w:val="white"/>
        </w:rPr>
        <w:t>Jutfelt</w:t>
      </w:r>
      <w:proofErr w:type="spellEnd"/>
      <w:r>
        <w:rPr>
          <w:rFonts w:ascii="Times New Roman" w:hAnsi="Times New Roman"/>
          <w:sz w:val="24"/>
          <w:szCs w:val="24"/>
          <w:highlight w:val="white"/>
        </w:rPr>
        <w:t xml:space="preserve"> et al. 2021), both aimed to save energy. Moreover, this suggests that the elevated temperature of 23</w:t>
      </w:r>
      <w:r>
        <w:rPr>
          <w:rFonts w:ascii="Times New Roman" w:hAnsi="Times New Roman"/>
          <w:sz w:val="24"/>
          <w:szCs w:val="24"/>
          <w:highlight w:val="white"/>
          <w:vertAlign w:val="superscript"/>
        </w:rPr>
        <w:t>o</w:t>
      </w:r>
      <w:r>
        <w:rPr>
          <w:rFonts w:ascii="Times New Roman" w:hAnsi="Times New Roman"/>
          <w:sz w:val="24"/>
          <w:szCs w:val="24"/>
          <w:highlight w:val="white"/>
        </w:rPr>
        <w:t>C, used in the current study, can be beyond the thermal optimum of the native species, which is commonly noted in freshwaters at temperatures up to 17</w:t>
      </w:r>
      <w:r>
        <w:rPr>
          <w:rFonts w:ascii="Times New Roman" w:hAnsi="Times New Roman"/>
          <w:sz w:val="24"/>
          <w:szCs w:val="24"/>
          <w:highlight w:val="white"/>
          <w:vertAlign w:val="superscript"/>
        </w:rPr>
        <w:t>o</w:t>
      </w:r>
      <w:r>
        <w:rPr>
          <w:rFonts w:ascii="Times New Roman" w:hAnsi="Times New Roman"/>
          <w:sz w:val="24"/>
          <w:szCs w:val="24"/>
          <w:highlight w:val="white"/>
        </w:rPr>
        <w:t xml:space="preserve">C (Smyly 1957, Andreasson 1971, Tomlinson and Perrow 2003). This could lead to an adverse effect on performance and disrupt basic life functions, e.g. activity, food acquisition, and physiological processes of ingestion and conversion of food </w:t>
      </w:r>
      <w:r>
        <w:rPr>
          <w:rFonts w:ascii="Times New Roman" w:hAnsi="Times New Roman"/>
          <w:sz w:val="24"/>
          <w:szCs w:val="24"/>
          <w:highlight w:val="white"/>
        </w:rPr>
        <w:lastRenderedPageBreak/>
        <w:t>into energy resources for various biological structures and activities (Somero 2012, Sinclair et al. 2016, Alfonso et al. 2021). The standard metabolic rate (measured for fish less than 2.5 g body mass) of both species tested here increased at 25</w:t>
      </w:r>
      <w:r>
        <w:rPr>
          <w:rFonts w:ascii="Times New Roman" w:hAnsi="Times New Roman"/>
          <w:sz w:val="24"/>
          <w:szCs w:val="24"/>
          <w:highlight w:val="white"/>
          <w:vertAlign w:val="superscript"/>
        </w:rPr>
        <w:t>o</w:t>
      </w:r>
      <w:r>
        <w:rPr>
          <w:rFonts w:ascii="Times New Roman" w:hAnsi="Times New Roman"/>
          <w:sz w:val="24"/>
          <w:szCs w:val="24"/>
          <w:highlight w:val="white"/>
        </w:rPr>
        <w:t>C compared to 17</w:t>
      </w:r>
      <w:r>
        <w:rPr>
          <w:rFonts w:ascii="Times New Roman" w:hAnsi="Times New Roman"/>
          <w:sz w:val="24"/>
          <w:szCs w:val="24"/>
          <w:highlight w:val="white"/>
          <w:vertAlign w:val="superscript"/>
        </w:rPr>
        <w:t>o</w:t>
      </w:r>
      <w:r>
        <w:rPr>
          <w:rFonts w:ascii="Times New Roman" w:hAnsi="Times New Roman"/>
          <w:sz w:val="24"/>
          <w:szCs w:val="24"/>
          <w:highlight w:val="white"/>
        </w:rPr>
        <w:t>C, indicating an increase in energy expenditures for basal aerobic processes at the elevated temperature (</w:t>
      </w:r>
      <w:proofErr w:type="spellStart"/>
      <w:r>
        <w:rPr>
          <w:rFonts w:ascii="Times New Roman" w:hAnsi="Times New Roman"/>
          <w:sz w:val="24"/>
          <w:szCs w:val="24"/>
          <w:highlight w:val="white"/>
        </w:rPr>
        <w:t>Kłosiński</w:t>
      </w:r>
      <w:proofErr w:type="spellEnd"/>
      <w:r>
        <w:rPr>
          <w:rFonts w:ascii="Times New Roman" w:hAnsi="Times New Roman"/>
          <w:sz w:val="24"/>
          <w:szCs w:val="24"/>
          <w:highlight w:val="white"/>
        </w:rPr>
        <w:t xml:space="preserve"> et al. 2024). The results of the current research suggest that the invasive species </w:t>
      </w:r>
      <w:r>
        <w:rPr>
          <w:rFonts w:ascii="Times New Roman" w:hAnsi="Times New Roman"/>
          <w:sz w:val="24"/>
          <w:szCs w:val="24"/>
        </w:rPr>
        <w:t xml:space="preserve">compensated for </w:t>
      </w:r>
      <w:r>
        <w:rPr>
          <w:rFonts w:ascii="Times New Roman" w:hAnsi="Times New Roman"/>
          <w:sz w:val="24"/>
          <w:szCs w:val="24"/>
          <w:highlight w:val="white"/>
        </w:rPr>
        <w:t>such greater energy demands by increasing food intake in the elevated compared to the ambient temperature. At the same time, the native species reduced its activity and relied on stored energy resources to sustain increased energy demands. The implications of these regime shifts for competitive interactions between these species remain to be examined.</w:t>
      </w:r>
    </w:p>
    <w:p w14:paraId="02DED6A7" w14:textId="77777777" w:rsidR="00B33FFC" w:rsidRDefault="002F6BE4">
      <w:pPr>
        <w:spacing w:after="0" w:line="480" w:lineRule="auto"/>
        <w:ind w:firstLine="720"/>
        <w:rPr>
          <w:rFonts w:ascii="Times New Roman" w:hAnsi="Times New Roman"/>
          <w:sz w:val="24"/>
          <w:szCs w:val="24"/>
          <w:highlight w:val="white"/>
        </w:rPr>
      </w:pPr>
      <w:r>
        <w:rPr>
          <w:rFonts w:ascii="Times New Roman" w:hAnsi="Times New Roman"/>
          <w:sz w:val="24"/>
          <w:szCs w:val="24"/>
          <w:highlight w:val="white"/>
        </w:rPr>
        <w:t>Further, we observed differential effects of body mass on feeding rates. Specifically, warming amplified the effects of body mass on feeding rates of the racer goby, but the effects were nullified in European bullheads. We further observed that the feeding rate of smaller individuals of the racer goby increased at the elevated temperature, whereas the feeding plateau was observed sooner with greater body masses. This result follows changes in bioenergetic processes with a temperature increase, with smaller individuals depleting resources faster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which triggers an increase in their feeding rate.  On the other hand, the observed feeding rate of the native species was consistently lower at the elevated compared to the ambient temperature along the entire size range. This could indicate that, in terms of foraging efficiency, small individuals of the invader dealt better with a temperature increase compared to larger conspecifics, but the native species performed poorly with warming regardless of their size.</w:t>
      </w:r>
    </w:p>
    <w:p w14:paraId="02DED6A8" w14:textId="77777777" w:rsidR="00B33FFC" w:rsidRDefault="002F6BE4">
      <w:pPr>
        <w:spacing w:line="480" w:lineRule="auto"/>
        <w:rPr>
          <w:rFonts w:ascii="Times New Roman" w:hAnsi="Times New Roman"/>
          <w:sz w:val="24"/>
          <w:szCs w:val="24"/>
          <w:highlight w:val="white"/>
        </w:rPr>
      </w:pPr>
      <w:r>
        <w:rPr>
          <w:rFonts w:ascii="Times New Roman" w:hAnsi="Times New Roman"/>
          <w:sz w:val="24"/>
          <w:szCs w:val="24"/>
          <w:highlight w:val="white"/>
        </w:rPr>
        <w:tab/>
        <w:t xml:space="preserve">Regarding foraging on different prey types, we observed a higher feeding rate on active compared to inactive prey throughout the experiment, with greater divergence in the elevated compared to the ambient temperature. Activity reduction is one of the basic </w:t>
      </w:r>
      <w:proofErr w:type="spellStart"/>
      <w:r>
        <w:rPr>
          <w:rFonts w:ascii="Times New Roman" w:hAnsi="Times New Roman"/>
          <w:sz w:val="24"/>
          <w:szCs w:val="24"/>
          <w:highlight w:val="white"/>
        </w:rPr>
        <w:lastRenderedPageBreak/>
        <w:t>antipredatory</w:t>
      </w:r>
      <w:proofErr w:type="spellEnd"/>
      <w:r>
        <w:rPr>
          <w:rFonts w:ascii="Times New Roman" w:hAnsi="Times New Roman"/>
          <w:sz w:val="24"/>
          <w:szCs w:val="24"/>
          <w:highlight w:val="white"/>
        </w:rPr>
        <w:t xml:space="preserve"> mechanisms aimed at reducing the likelihood of detection by the predator (Lima and Dill 1990, Sih et al. 2010). Moreover, prey mobility could increase the number of predator-prey encounters. As a result, the mobile prey could be easier to detect and more often encountered by a predator compared to the inactive one. Indeed, in the other study, the active prey were eaten by the racer goby more often than immobile prey individuals (</w:t>
      </w:r>
      <w:proofErr w:type="spellStart"/>
      <w:r>
        <w:rPr>
          <w:rFonts w:ascii="Times New Roman" w:hAnsi="Times New Roman"/>
          <w:sz w:val="24"/>
          <w:szCs w:val="24"/>
          <w:highlight w:val="white"/>
        </w:rPr>
        <w:t>Błońska</w:t>
      </w:r>
      <w:proofErr w:type="spellEnd"/>
      <w:r>
        <w:rPr>
          <w:rFonts w:ascii="Times New Roman" w:hAnsi="Times New Roman"/>
          <w:sz w:val="24"/>
          <w:szCs w:val="24"/>
          <w:highlight w:val="white"/>
        </w:rPr>
        <w:t xml:space="preserve"> et al. 2015). The results of the current study suggest that mobile prey species and/or individuals could be targeted more with warming, which could decrease the predation pressure towards less active prey. How this can disrupt interactions between active and inactive prey by affecting competitive pressure necessitates further research.</w:t>
      </w:r>
    </w:p>
    <w:p w14:paraId="02DED6A9" w14:textId="77777777" w:rsidR="00B33FFC" w:rsidRDefault="002F6BE4">
      <w:pPr>
        <w:spacing w:line="480" w:lineRule="auto"/>
        <w:rPr>
          <w:rFonts w:ascii="Times New Roman" w:hAnsi="Times New Roman"/>
          <w:i/>
          <w:sz w:val="24"/>
          <w:szCs w:val="24"/>
          <w:highlight w:val="white"/>
        </w:rPr>
      </w:pPr>
      <w:r>
        <w:rPr>
          <w:rFonts w:ascii="Times New Roman" w:hAnsi="Times New Roman"/>
          <w:i/>
          <w:sz w:val="24"/>
          <w:szCs w:val="24"/>
          <w:highlight w:val="white"/>
        </w:rPr>
        <w:t>Fish growth</w:t>
      </w:r>
    </w:p>
    <w:p w14:paraId="02DED6AA" w14:textId="77777777" w:rsidR="00B33FFC" w:rsidRDefault="002F6BE4">
      <w:pPr>
        <w:spacing w:line="480" w:lineRule="auto"/>
        <w:rPr>
          <w:rFonts w:ascii="Times New Roman" w:hAnsi="Times New Roman"/>
          <w:sz w:val="24"/>
          <w:szCs w:val="24"/>
          <w:highlight w:val="white"/>
        </w:rPr>
      </w:pPr>
      <w:r>
        <w:rPr>
          <w:rFonts w:ascii="Times New Roman" w:hAnsi="Times New Roman"/>
          <w:sz w:val="24"/>
          <w:szCs w:val="24"/>
          <w:highlight w:val="white"/>
        </w:rPr>
        <w:t>The differences in foraging efficiency of tested fish observed in our study could be further translated to differences in growth. Both tested fish species tend to increase their standard metabolic rate (</w:t>
      </w:r>
      <w:proofErr w:type="spellStart"/>
      <w:r>
        <w:rPr>
          <w:rFonts w:ascii="Times New Roman" w:hAnsi="Times New Roman"/>
          <w:sz w:val="24"/>
          <w:szCs w:val="24"/>
          <w:highlight w:val="white"/>
        </w:rPr>
        <w:t>Kłosiński</w:t>
      </w:r>
      <w:proofErr w:type="spellEnd"/>
      <w:r>
        <w:rPr>
          <w:rFonts w:ascii="Times New Roman" w:hAnsi="Times New Roman"/>
          <w:sz w:val="24"/>
          <w:szCs w:val="24"/>
          <w:highlight w:val="white"/>
        </w:rPr>
        <w:t xml:space="preserve"> et al. 2024) and change their foraging efficiency (increased in the invader, decreased in the native species) with warming, and as such, we can estimate the effectiveness of the presented responses to the elevated temperature as expressed by the fish growth.  We observed an increase (for small individuals) or no changes (for larger individuals) in the invasive species individuals’ body mass over the experimental period at both temperatures, though the growth rate at the elevated temperature was always lower than that at the ambient one. Such a size-specific response may support higher energetic efficiency (defined as energy gains/energy losses ratio) of smaller compared to larger individuals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Further, these results indicate that the racer goby, which </w:t>
      </w:r>
      <w:r>
        <w:rPr>
          <w:rFonts w:ascii="Times New Roman" w:hAnsi="Times New Roman"/>
          <w:sz w:val="24"/>
          <w:szCs w:val="24"/>
        </w:rPr>
        <w:t>originates from a region historically exposed to</w:t>
      </w:r>
      <w:r>
        <w:rPr>
          <w:rFonts w:ascii="Times New Roman" w:hAnsi="Times New Roman"/>
          <w:sz w:val="24"/>
          <w:szCs w:val="24"/>
          <w:highlight w:val="white"/>
        </w:rPr>
        <w:t xml:space="preserve"> wide temperature fluctuations (</w:t>
      </w:r>
      <w:proofErr w:type="spellStart"/>
      <w:r>
        <w:rPr>
          <w:rFonts w:ascii="Times New Roman" w:hAnsi="Times New Roman"/>
          <w:sz w:val="24"/>
          <w:szCs w:val="24"/>
          <w:highlight w:val="white"/>
        </w:rPr>
        <w:t>Rewicz</w:t>
      </w:r>
      <w:proofErr w:type="spellEnd"/>
      <w:r>
        <w:rPr>
          <w:rFonts w:ascii="Times New Roman" w:hAnsi="Times New Roman"/>
          <w:sz w:val="24"/>
          <w:szCs w:val="24"/>
          <w:highlight w:val="white"/>
        </w:rPr>
        <w:t xml:space="preserve"> et al 2014), could perform well in a wide range of temperatures. Contrastingly, the effect of the temperature on the growth rate of the native species was more pronounced. For European bullheads, we observed an increase in body mass only for small individuals at </w:t>
      </w:r>
      <w:r>
        <w:rPr>
          <w:rFonts w:ascii="Times New Roman" w:hAnsi="Times New Roman"/>
          <w:sz w:val="24"/>
          <w:szCs w:val="24"/>
          <w:highlight w:val="white"/>
        </w:rPr>
        <w:lastRenderedPageBreak/>
        <w:t>15</w:t>
      </w:r>
      <w:r>
        <w:rPr>
          <w:rFonts w:ascii="Times New Roman" w:hAnsi="Times New Roman"/>
          <w:sz w:val="24"/>
          <w:szCs w:val="24"/>
          <w:highlight w:val="white"/>
          <w:vertAlign w:val="superscript"/>
        </w:rPr>
        <w:t>o</w:t>
      </w:r>
      <w:r>
        <w:rPr>
          <w:rFonts w:ascii="Times New Roman" w:hAnsi="Times New Roman"/>
          <w:sz w:val="24"/>
          <w:szCs w:val="24"/>
          <w:highlight w:val="white"/>
        </w:rPr>
        <w:t>C. The reason why larger individuals of the native species lost weight at the ambient temperature could be their higher energy demands to sustain basic life processes. It was shown that, for small individuals (i.e. less than 2.5 g in body mass), the standard metabolic rate for the European bullheads was consistently higher than for the racer goby at 17</w:t>
      </w:r>
      <w:r>
        <w:rPr>
          <w:rFonts w:ascii="Times New Roman" w:hAnsi="Times New Roman"/>
          <w:sz w:val="24"/>
          <w:szCs w:val="24"/>
          <w:highlight w:val="white"/>
          <w:vertAlign w:val="superscript"/>
        </w:rPr>
        <w:t>o</w:t>
      </w:r>
      <w:r>
        <w:rPr>
          <w:rFonts w:ascii="Times New Roman" w:hAnsi="Times New Roman"/>
          <w:sz w:val="24"/>
          <w:szCs w:val="24"/>
          <w:highlight w:val="white"/>
        </w:rPr>
        <w:t>C (</w:t>
      </w:r>
      <w:proofErr w:type="spellStart"/>
      <w:r>
        <w:rPr>
          <w:rFonts w:ascii="Times New Roman" w:hAnsi="Times New Roman"/>
          <w:sz w:val="24"/>
          <w:szCs w:val="24"/>
          <w:highlight w:val="white"/>
        </w:rPr>
        <w:t>Kłosiński</w:t>
      </w:r>
      <w:proofErr w:type="spellEnd"/>
      <w:r>
        <w:rPr>
          <w:rFonts w:ascii="Times New Roman" w:hAnsi="Times New Roman"/>
          <w:sz w:val="24"/>
          <w:szCs w:val="24"/>
          <w:highlight w:val="white"/>
        </w:rPr>
        <w:t xml:space="preserve"> et al. 2024). However, as is the case in most functional response studies, we employed a non-replacement design, which necessarily constrained resource availability at low resource densities (Alexander et al. 2012, Faria et al. 2023), and under such limited food availability, larger individuals of the native species may have been unable to meet their energy demands at the ambient temperature. At 23</w:t>
      </w:r>
      <w:r>
        <w:rPr>
          <w:rFonts w:ascii="Times New Roman" w:hAnsi="Times New Roman"/>
          <w:sz w:val="24"/>
          <w:szCs w:val="24"/>
          <w:highlight w:val="white"/>
          <w:vertAlign w:val="superscript"/>
        </w:rPr>
        <w:t>o</w:t>
      </w:r>
      <w:r>
        <w:rPr>
          <w:rFonts w:ascii="Times New Roman" w:hAnsi="Times New Roman"/>
          <w:sz w:val="24"/>
          <w:szCs w:val="24"/>
          <w:highlight w:val="white"/>
        </w:rPr>
        <w:t xml:space="preserve">C, all individuals of the native species lost weight, irrespective of their initial size. With poor foraging activity, the native species could rely on stored energy in the short-term (Shepard et al. 2013), but with inadequate food intake, there was insufficient energy for the organism in the long-term (Halsey et al. 2019). Thus, we provide evidence that a temperature increase negatively affects growth of both species, but only the invasive species is able to exhibit a compensatory mechanism, i.e. increased feeding rate. This compensation allowed an increase, though at a reduced rate, in body mass, whereas the native species relied on stored energy, which resulted in body mass loss.  </w:t>
      </w:r>
    </w:p>
    <w:p w14:paraId="02DED6AB" w14:textId="77777777" w:rsidR="00B33FFC" w:rsidRDefault="002F6BE4">
      <w:pPr>
        <w:spacing w:line="480" w:lineRule="auto"/>
        <w:rPr>
          <w:rFonts w:ascii="Times New Roman" w:hAnsi="Times New Roman"/>
          <w:i/>
          <w:sz w:val="24"/>
          <w:szCs w:val="24"/>
          <w:highlight w:val="white"/>
        </w:rPr>
      </w:pPr>
      <w:r>
        <w:rPr>
          <w:rFonts w:ascii="Times New Roman" w:hAnsi="Times New Roman"/>
          <w:i/>
          <w:sz w:val="24"/>
          <w:szCs w:val="24"/>
          <w:highlight w:val="white"/>
        </w:rPr>
        <w:t>Effects on populations and communities</w:t>
      </w:r>
    </w:p>
    <w:p w14:paraId="02DED6AC" w14:textId="77777777" w:rsidR="00B33FFC" w:rsidRDefault="002F6BE4">
      <w:pPr>
        <w:spacing w:line="480" w:lineRule="auto"/>
        <w:rPr>
          <w:rFonts w:ascii="Times New Roman" w:hAnsi="Times New Roman"/>
          <w:sz w:val="24"/>
          <w:szCs w:val="24"/>
          <w:highlight w:val="white"/>
        </w:rPr>
      </w:pPr>
      <w:r>
        <w:rPr>
          <w:rFonts w:ascii="Times New Roman" w:hAnsi="Times New Roman"/>
          <w:sz w:val="24"/>
          <w:szCs w:val="24"/>
          <w:highlight w:val="white"/>
        </w:rPr>
        <w:t xml:space="preserve">Assuming that the elevated temperature chosen for the current study will be common in European freshwaters by the end of the century (based on our model and other reports, e.g. IPCC, 2023), observed interactions between temperature, foraging efficiency and fish body mass for the two species in question can trigger changes at the population and community levels. We can consider them in different contexts, firstly the predator-prey interaction. We may expect that in the future, with smaller individuals performing better, the size distribution of the invasive fish population may change. This will affect the predation </w:t>
      </w:r>
      <w:r>
        <w:rPr>
          <w:rFonts w:ascii="Times New Roman" w:hAnsi="Times New Roman"/>
          <w:sz w:val="24"/>
          <w:szCs w:val="24"/>
          <w:highlight w:val="white"/>
        </w:rPr>
        <w:lastRenderedPageBreak/>
        <w:t>pressure from the invader towards a native prey population. On the one hand, the increased feeding rate of small individuals may result in an enhanced predation pressure with an increase in temperature. On the other hand, the pressure towards larger-sized prey controlled by larger predator individuals could decrease, but this can further depend on prey size responses to warming in terms of population persistence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Conversely, the predation pressure of the native predator is likely to decrease, or even disappear (because of the predator extinction) with a future temperature increase. Second, potential changes in predator population stability could be induced. A pervasive factor to consider here is fecundity, whereby it is well-known that larger females are more effective in reproduction (Hixon et al. 2014). In this regard, both tested species could have compromised reproductive output (i.e. produced less numerous offspring, or a similar number of smaller-sized ones) with warming (</w:t>
      </w:r>
      <w:proofErr w:type="spellStart"/>
      <w:r>
        <w:rPr>
          <w:rFonts w:ascii="Times New Roman" w:hAnsi="Times New Roman"/>
          <w:sz w:val="24"/>
          <w:szCs w:val="24"/>
          <w:highlight w:val="white"/>
        </w:rPr>
        <w:t>Sentis</w:t>
      </w:r>
      <w:proofErr w:type="spellEnd"/>
      <w:r>
        <w:rPr>
          <w:rFonts w:ascii="Times New Roman" w:hAnsi="Times New Roman"/>
          <w:sz w:val="24"/>
          <w:szCs w:val="24"/>
          <w:highlight w:val="white"/>
        </w:rPr>
        <w:t xml:space="preserve"> et al. 2024), with a shift towards small-sized individuals. The population-level response of the invasive species could thus be a reduced size-at-maturity (Brûlé et al. 2024). For the native species population, even small-sized individuals performed poorly in the elevated temperature, which could cause serious reproductive disorders, leading to a population extinction. Third, observed effects of elevated temperature could change the outcomes of competition between invasive and native species. Specifically, individuals of the invasive species, despite gradually decreasing in size, will compete with poorly performing similar-sized and larger individuals of the natives. Knowing the competitive superiority of the invasive species (Carpenter and Jeanette 2005, </w:t>
      </w:r>
      <w:proofErr w:type="spellStart"/>
      <w:r>
        <w:rPr>
          <w:rFonts w:ascii="Times New Roman" w:hAnsi="Times New Roman"/>
          <w:sz w:val="24"/>
          <w:szCs w:val="24"/>
          <w:highlight w:val="white"/>
        </w:rPr>
        <w:t>Kakareko</w:t>
      </w:r>
      <w:proofErr w:type="spellEnd"/>
      <w:r>
        <w:rPr>
          <w:rFonts w:ascii="Times New Roman" w:hAnsi="Times New Roman"/>
          <w:sz w:val="24"/>
          <w:szCs w:val="24"/>
          <w:highlight w:val="white"/>
        </w:rPr>
        <w:t xml:space="preserve"> et al. 2013, Grabowska et al. 2016), they could outcompete individuals of native species, leading to the extinction of natives from a particular area. </w:t>
      </w:r>
    </w:p>
    <w:p w14:paraId="02DED6AD" w14:textId="77777777" w:rsidR="00B33FFC" w:rsidRDefault="002F6BE4">
      <w:pPr>
        <w:spacing w:line="480" w:lineRule="auto"/>
        <w:rPr>
          <w:rFonts w:ascii="Times New Roman" w:hAnsi="Times New Roman"/>
          <w:sz w:val="24"/>
          <w:szCs w:val="24"/>
          <w:highlight w:val="white"/>
        </w:rPr>
      </w:pPr>
      <w:r>
        <w:rPr>
          <w:rFonts w:ascii="Times New Roman" w:hAnsi="Times New Roman"/>
          <w:sz w:val="24"/>
          <w:szCs w:val="24"/>
          <w:highlight w:val="white"/>
        </w:rPr>
        <w:tab/>
        <w:t xml:space="preserve">Although our multi-factorial experimental design was conserved to a single invader-native pairing, our results corroborate increasing evidence for greater efficiency of </w:t>
      </w:r>
      <w:r>
        <w:rPr>
          <w:rFonts w:ascii="Times New Roman" w:hAnsi="Times New Roman"/>
          <w:sz w:val="24"/>
          <w:szCs w:val="24"/>
          <w:highlight w:val="white"/>
        </w:rPr>
        <w:lastRenderedPageBreak/>
        <w:t xml:space="preserve">resource use by non-native consumers (Faria et al., 2025). Functional responses have been shown to be a good predictor of ecological impact through comparative analyses of </w:t>
      </w:r>
      <w:proofErr w:type="spellStart"/>
      <w:r>
        <w:rPr>
          <w:rFonts w:ascii="Times New Roman" w:hAnsi="Times New Roman"/>
          <w:sz w:val="24"/>
          <w:szCs w:val="24"/>
          <w:highlight w:val="white"/>
        </w:rPr>
        <w:t>trophically</w:t>
      </w:r>
      <w:proofErr w:type="spellEnd"/>
      <w:r>
        <w:rPr>
          <w:rFonts w:ascii="Times New Roman" w:hAnsi="Times New Roman"/>
          <w:sz w:val="24"/>
          <w:szCs w:val="24"/>
          <w:highlight w:val="white"/>
        </w:rPr>
        <w:t xml:space="preserve">-analogous native and non-native consumers, however, it is also important to consider the population-level changes alongside </w:t>
      </w:r>
      <w:r>
        <w:rPr>
          <w:rFonts w:ascii="Times New Roman" w:hAnsi="Times New Roman"/>
          <w:i/>
          <w:sz w:val="24"/>
          <w:szCs w:val="24"/>
          <w:highlight w:val="white"/>
        </w:rPr>
        <w:t>per capita</w:t>
      </w:r>
      <w:r>
        <w:rPr>
          <w:rFonts w:ascii="Times New Roman" w:hAnsi="Times New Roman"/>
          <w:sz w:val="24"/>
          <w:szCs w:val="24"/>
          <w:highlight w:val="white"/>
        </w:rPr>
        <w:t xml:space="preserve"> consumptive effects (Dick et al., 2017). It is additionally critical to consider conversion efficiency and background mortality of populations, which may mediate differences shown by functional response metrics (Landi et al., 2022). Our results nevertheless deepen the evidence base for greater exploitation of resources by non-natives, which, combined with their higher thermal optima and wider range of temperature tolerance (e.g. Britton et al. 2010, Gebauer et al. 2018, Cuthbert and Briski 2021, Martinez Reyes et al. 2024), can lead to an increase in predation pressure of the former on native biota with ongoing global warming. Moreover, our findings around predator growth rates indicate the potential for global warming to change the competitive balance between non-native species and their native counterparts, which could further facilitate the spread of the former. However, further comparative research with more species included are needed to determine if this is a general rule for non-native species.</w:t>
      </w:r>
    </w:p>
    <w:p w14:paraId="02DED6AE" w14:textId="77777777" w:rsidR="00B33FFC" w:rsidRDefault="002F6BE4">
      <w:pPr>
        <w:spacing w:line="480" w:lineRule="auto"/>
        <w:rPr>
          <w:rFonts w:ascii="Times New Roman" w:hAnsi="Times New Roman"/>
          <w:b/>
          <w:sz w:val="24"/>
          <w:szCs w:val="24"/>
          <w:highlight w:val="white"/>
        </w:rPr>
      </w:pPr>
      <w:r>
        <w:rPr>
          <w:rFonts w:ascii="Times New Roman" w:hAnsi="Times New Roman"/>
          <w:b/>
          <w:sz w:val="24"/>
          <w:szCs w:val="24"/>
          <w:highlight w:val="white"/>
        </w:rPr>
        <w:t>Conclusion</w:t>
      </w:r>
    </w:p>
    <w:p w14:paraId="02DED6AF" w14:textId="77777777" w:rsidR="00B33FFC" w:rsidRDefault="002F6BE4">
      <w:pPr>
        <w:spacing w:line="480" w:lineRule="auto"/>
        <w:rPr>
          <w:rFonts w:ascii="Times New Roman" w:hAnsi="Times New Roman"/>
          <w:sz w:val="24"/>
          <w:szCs w:val="24"/>
        </w:rPr>
      </w:pPr>
      <w:r>
        <w:rPr>
          <w:rFonts w:ascii="Times New Roman" w:hAnsi="Times New Roman"/>
          <w:sz w:val="24"/>
          <w:szCs w:val="24"/>
        </w:rPr>
        <w:tab/>
        <w:t xml:space="preserve">We provide evidence that the prey traits and consumer body mass can mediate temperature effects on the foraging efficiency, which further result in different growth patterns of invasive and native fish species. This provides novel insight into the body-mass scaling of species' thermal performance, and the potential effects of invasive species on native biota in light of ongoing global warming. With burgeoning environmental change, there is a risk that native species with a lower thermal optimum will fail to maintain homeostasis with the temperature increase. If so, this could shift the competitive balance between the invader and native species, with implications for other trophic levels. As a </w:t>
      </w:r>
      <w:r>
        <w:rPr>
          <w:rFonts w:ascii="Times New Roman" w:hAnsi="Times New Roman"/>
          <w:sz w:val="24"/>
          <w:szCs w:val="24"/>
        </w:rPr>
        <w:lastRenderedPageBreak/>
        <w:t>result, native species could begin to decline. From the invasive species’ perspective, this could reduce competitive pressure from natives and facilitate their further establishment and spread, as well as further invasion success from other species. Further studies on invasive species ecology, with a focus on individuals body mass, are needed to better understand indirect effects of invaders on native community stability under global warming.</w:t>
      </w:r>
    </w:p>
    <w:p w14:paraId="175C159A" w14:textId="77777777" w:rsidR="005B194D" w:rsidRDefault="005B194D" w:rsidP="005B194D">
      <w:pPr>
        <w:spacing w:before="240" w:after="240" w:line="480" w:lineRule="auto"/>
        <w:jc w:val="both"/>
        <w:rPr>
          <w:rFonts w:ascii="Times New Roman" w:hAnsi="Times New Roman"/>
          <w:b/>
          <w:sz w:val="24"/>
          <w:szCs w:val="24"/>
        </w:rPr>
      </w:pPr>
      <w:r>
        <w:rPr>
          <w:rFonts w:ascii="Times New Roman" w:hAnsi="Times New Roman"/>
          <w:b/>
          <w:sz w:val="24"/>
          <w:szCs w:val="24"/>
        </w:rPr>
        <w:t>Acknowledgments</w:t>
      </w:r>
    </w:p>
    <w:p w14:paraId="42B578E8" w14:textId="77777777" w:rsidR="005B194D" w:rsidRDefault="005B194D" w:rsidP="005B194D">
      <w:pPr>
        <w:spacing w:before="240" w:after="240" w:line="480" w:lineRule="auto"/>
        <w:jc w:val="both"/>
        <w:rPr>
          <w:rFonts w:ascii="Times New Roman" w:hAnsi="Times New Roman"/>
          <w:sz w:val="24"/>
          <w:szCs w:val="24"/>
        </w:rPr>
      </w:pPr>
      <w:r>
        <w:rPr>
          <w:rFonts w:ascii="Times New Roman" w:hAnsi="Times New Roman"/>
          <w:sz w:val="24"/>
          <w:szCs w:val="24"/>
        </w:rPr>
        <w:t xml:space="preserve">Our study was supported by the National Science Centre, Poland, grant No. 2020/39/D/NZ8/01226. </w:t>
      </w:r>
    </w:p>
    <w:p w14:paraId="02DED6B6" w14:textId="77777777" w:rsidR="00B33FFC" w:rsidRDefault="002F6BE4">
      <w:pPr>
        <w:spacing w:before="240" w:line="480" w:lineRule="auto"/>
        <w:jc w:val="both"/>
        <w:rPr>
          <w:rFonts w:ascii="Times New Roman" w:hAnsi="Times New Roman"/>
          <w:sz w:val="24"/>
          <w:szCs w:val="24"/>
        </w:rPr>
      </w:pPr>
      <w:r>
        <w:rPr>
          <w:rFonts w:ascii="Times New Roman" w:hAnsi="Times New Roman"/>
          <w:sz w:val="24"/>
          <w:szCs w:val="24"/>
        </w:rPr>
        <w:t>Data availability statement</w:t>
      </w:r>
    </w:p>
    <w:p w14:paraId="02DED6B7" w14:textId="77777777" w:rsidR="00B33FFC" w:rsidRDefault="002F6BE4">
      <w:pPr>
        <w:spacing w:line="480" w:lineRule="auto"/>
        <w:jc w:val="both"/>
        <w:rPr>
          <w:rFonts w:ascii="Times New Roman" w:hAnsi="Times New Roman"/>
          <w:sz w:val="24"/>
          <w:szCs w:val="24"/>
        </w:rPr>
      </w:pPr>
      <w:r>
        <w:rPr>
          <w:rFonts w:ascii="Times New Roman" w:hAnsi="Times New Roman"/>
          <w:sz w:val="24"/>
          <w:szCs w:val="24"/>
        </w:rPr>
        <w:t>All of the data that support the findings of this study are available in the Supplementary Material 2.</w:t>
      </w:r>
    </w:p>
    <w:p w14:paraId="00413614" w14:textId="77777777" w:rsidR="005B194D" w:rsidRDefault="005B194D" w:rsidP="005B194D">
      <w:pPr>
        <w:spacing w:line="480" w:lineRule="auto"/>
        <w:jc w:val="both"/>
        <w:rPr>
          <w:rFonts w:ascii="Times New Roman" w:hAnsi="Times New Roman"/>
          <w:sz w:val="24"/>
          <w:szCs w:val="24"/>
        </w:rPr>
      </w:pPr>
      <w:r>
        <w:rPr>
          <w:rFonts w:ascii="Times New Roman" w:hAnsi="Times New Roman"/>
          <w:sz w:val="24"/>
          <w:szCs w:val="24"/>
        </w:rPr>
        <w:t>Conflict of interest</w:t>
      </w:r>
    </w:p>
    <w:p w14:paraId="60C459BB" w14:textId="77777777" w:rsidR="005B194D" w:rsidRDefault="005B194D" w:rsidP="005B194D">
      <w:pPr>
        <w:spacing w:before="240" w:line="480" w:lineRule="auto"/>
        <w:jc w:val="both"/>
        <w:rPr>
          <w:rFonts w:ascii="Times New Roman" w:hAnsi="Times New Roman"/>
          <w:sz w:val="24"/>
          <w:szCs w:val="24"/>
        </w:rPr>
      </w:pPr>
      <w:r>
        <w:rPr>
          <w:rFonts w:ascii="Times New Roman" w:hAnsi="Times New Roman"/>
          <w:sz w:val="24"/>
          <w:szCs w:val="24"/>
        </w:rPr>
        <w:t>The Authors declare no conflict of interest.</w:t>
      </w:r>
    </w:p>
    <w:p w14:paraId="67B34B2D" w14:textId="77777777" w:rsidR="005B194D" w:rsidRDefault="005B194D" w:rsidP="005B194D">
      <w:pPr>
        <w:spacing w:before="240" w:after="240" w:line="480" w:lineRule="auto"/>
        <w:jc w:val="both"/>
        <w:rPr>
          <w:rFonts w:ascii="Times New Roman" w:hAnsi="Times New Roman"/>
          <w:sz w:val="24"/>
          <w:szCs w:val="24"/>
        </w:rPr>
      </w:pPr>
      <w:r>
        <w:rPr>
          <w:rFonts w:ascii="Times New Roman" w:hAnsi="Times New Roman"/>
          <w:sz w:val="24"/>
          <w:szCs w:val="24"/>
        </w:rPr>
        <w:t>Author contributions</w:t>
      </w:r>
    </w:p>
    <w:p w14:paraId="6457E951" w14:textId="77777777" w:rsidR="005B194D" w:rsidRDefault="005B194D" w:rsidP="005B194D">
      <w:pPr>
        <w:spacing w:before="240" w:after="240" w:line="480" w:lineRule="auto"/>
        <w:jc w:val="both"/>
        <w:rPr>
          <w:rFonts w:ascii="Times New Roman" w:hAnsi="Times New Roman"/>
          <w:sz w:val="24"/>
          <w:szCs w:val="24"/>
        </w:rPr>
      </w:pPr>
      <w:r>
        <w:rPr>
          <w:rFonts w:ascii="Times New Roman" w:hAnsi="Times New Roman"/>
          <w:b/>
          <w:sz w:val="24"/>
          <w:szCs w:val="24"/>
        </w:rPr>
        <w:t>MA</w:t>
      </w:r>
      <w:r>
        <w:rPr>
          <w:rFonts w:ascii="Times New Roman" w:hAnsi="Times New Roman"/>
          <w:sz w:val="24"/>
          <w:szCs w:val="24"/>
        </w:rPr>
        <w:t xml:space="preserve">: Conceptualization, Data curation, Formal analysis, Investigation, Methodology, Resources, Visualization, Writing – original draft; </w:t>
      </w:r>
      <w:r>
        <w:rPr>
          <w:rFonts w:ascii="Times New Roman" w:hAnsi="Times New Roman"/>
          <w:b/>
          <w:sz w:val="24"/>
          <w:szCs w:val="24"/>
        </w:rPr>
        <w:t>RC</w:t>
      </w:r>
      <w:r>
        <w:rPr>
          <w:rFonts w:ascii="Times New Roman" w:hAnsi="Times New Roman"/>
          <w:sz w:val="24"/>
          <w:szCs w:val="24"/>
        </w:rPr>
        <w:t xml:space="preserve">: Formal analysis, Visualization, Writing – Review &amp; editing; </w:t>
      </w:r>
      <w:r>
        <w:rPr>
          <w:rFonts w:ascii="Times New Roman" w:hAnsi="Times New Roman"/>
          <w:b/>
          <w:sz w:val="24"/>
          <w:szCs w:val="24"/>
        </w:rPr>
        <w:t>JK</w:t>
      </w:r>
      <w:r>
        <w:rPr>
          <w:rFonts w:ascii="Times New Roman" w:hAnsi="Times New Roman"/>
          <w:sz w:val="24"/>
          <w:szCs w:val="24"/>
        </w:rPr>
        <w:t xml:space="preserve">: Conceptualization, Methodology, Writing – Review &amp; editing; </w:t>
      </w:r>
      <w:r>
        <w:rPr>
          <w:rFonts w:ascii="Times New Roman" w:hAnsi="Times New Roman"/>
          <w:b/>
          <w:sz w:val="24"/>
          <w:szCs w:val="24"/>
        </w:rPr>
        <w:t>TK</w:t>
      </w:r>
      <w:r>
        <w:rPr>
          <w:rFonts w:ascii="Times New Roman" w:hAnsi="Times New Roman"/>
          <w:sz w:val="24"/>
          <w:szCs w:val="24"/>
        </w:rPr>
        <w:t xml:space="preserve">: Conceptualization, Methodology, Writing – Review &amp; editing; </w:t>
      </w:r>
      <w:r>
        <w:rPr>
          <w:rFonts w:ascii="Times New Roman" w:hAnsi="Times New Roman"/>
          <w:b/>
          <w:sz w:val="24"/>
          <w:szCs w:val="24"/>
        </w:rPr>
        <w:t>ŁJ</w:t>
      </w:r>
      <w:r>
        <w:rPr>
          <w:rFonts w:ascii="Times New Roman" w:hAnsi="Times New Roman"/>
          <w:sz w:val="24"/>
          <w:szCs w:val="24"/>
        </w:rPr>
        <w:t>: Conceptualization, Formal analysis, Funding acquisition, Investigation, Methodology, Resources, Supervision, Writing – Review &amp; editing</w:t>
      </w:r>
    </w:p>
    <w:p w14:paraId="02DED6B8" w14:textId="2E8C60AF" w:rsidR="00B33FFC" w:rsidRDefault="005B194D">
      <w:pPr>
        <w:spacing w:line="360" w:lineRule="auto"/>
        <w:jc w:val="both"/>
        <w:rPr>
          <w:rFonts w:ascii="Times New Roman" w:hAnsi="Times New Roman"/>
          <w:b/>
          <w:sz w:val="24"/>
          <w:szCs w:val="24"/>
        </w:rPr>
      </w:pPr>
      <w:r>
        <w:rPr>
          <w:rFonts w:ascii="Times New Roman" w:hAnsi="Times New Roman"/>
          <w:b/>
          <w:sz w:val="24"/>
          <w:szCs w:val="24"/>
        </w:rPr>
        <w:br w:type="column"/>
      </w:r>
      <w:r w:rsidR="002F6BE4">
        <w:rPr>
          <w:rFonts w:ascii="Times New Roman" w:hAnsi="Times New Roman"/>
          <w:b/>
          <w:sz w:val="24"/>
          <w:szCs w:val="24"/>
        </w:rPr>
        <w:lastRenderedPageBreak/>
        <w:t>References</w:t>
      </w:r>
    </w:p>
    <w:p w14:paraId="02DED6B9"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Alexander, M., Dick, J., O’Connor, N., Haddaway, N., &amp; Farnsworth, K. (2012). Functional responses of the intertidal amphipod </w:t>
      </w:r>
      <w:proofErr w:type="spellStart"/>
      <w:r>
        <w:rPr>
          <w:rFonts w:ascii="Times New Roman" w:hAnsi="Times New Roman"/>
          <w:i/>
          <w:sz w:val="24"/>
          <w:szCs w:val="24"/>
        </w:rPr>
        <w:t>Echinogammarus</w:t>
      </w:r>
      <w:proofErr w:type="spellEnd"/>
      <w:r>
        <w:rPr>
          <w:rFonts w:ascii="Times New Roman" w:hAnsi="Times New Roman"/>
          <w:i/>
          <w:sz w:val="24"/>
          <w:szCs w:val="24"/>
        </w:rPr>
        <w:t xml:space="preserve"> marinus</w:t>
      </w:r>
      <w:r>
        <w:rPr>
          <w:rFonts w:ascii="Times New Roman" w:hAnsi="Times New Roman"/>
          <w:sz w:val="24"/>
          <w:szCs w:val="24"/>
        </w:rPr>
        <w:t>: effects of prey supply, model selection and habitat complexity. Marine Ecology Progress Series, 468, 191–202. https://doi.org/10.3354/meps09978</w:t>
      </w:r>
    </w:p>
    <w:p w14:paraId="02DED6BA"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Alfonso, S., </w:t>
      </w:r>
      <w:proofErr w:type="spellStart"/>
      <w:r>
        <w:rPr>
          <w:rFonts w:ascii="Times New Roman" w:hAnsi="Times New Roman"/>
          <w:sz w:val="24"/>
          <w:szCs w:val="24"/>
        </w:rPr>
        <w:t>Gesto</w:t>
      </w:r>
      <w:proofErr w:type="spellEnd"/>
      <w:r>
        <w:rPr>
          <w:rFonts w:ascii="Times New Roman" w:hAnsi="Times New Roman"/>
          <w:sz w:val="24"/>
          <w:szCs w:val="24"/>
        </w:rPr>
        <w:t xml:space="preserve">, M., &amp; </w:t>
      </w:r>
      <w:proofErr w:type="spellStart"/>
      <w:r>
        <w:rPr>
          <w:rFonts w:ascii="Times New Roman" w:hAnsi="Times New Roman"/>
          <w:sz w:val="24"/>
          <w:szCs w:val="24"/>
        </w:rPr>
        <w:t>Sadoul</w:t>
      </w:r>
      <w:proofErr w:type="spellEnd"/>
      <w:r>
        <w:rPr>
          <w:rFonts w:ascii="Times New Roman" w:hAnsi="Times New Roman"/>
          <w:sz w:val="24"/>
          <w:szCs w:val="24"/>
        </w:rPr>
        <w:t>, B. (2021). Temperature increase and its effects on fish stress physiology in the context of global warming. Journal of Fish Biology, 98(6), 1496–1508. https://doi.org/10.1111/jfb.14599</w:t>
      </w:r>
    </w:p>
    <w:p w14:paraId="02DED6BB"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Andreasson, S. (1971). Feeding habits of a sculpin (</w:t>
      </w:r>
      <w:r>
        <w:rPr>
          <w:rFonts w:ascii="Times New Roman" w:hAnsi="Times New Roman"/>
          <w:i/>
          <w:sz w:val="24"/>
          <w:szCs w:val="24"/>
        </w:rPr>
        <w:t>Cottus gobio</w:t>
      </w:r>
      <w:r>
        <w:rPr>
          <w:rFonts w:ascii="Times New Roman" w:hAnsi="Times New Roman"/>
          <w:sz w:val="24"/>
          <w:szCs w:val="24"/>
        </w:rPr>
        <w:t xml:space="preserve"> L. Pisces) population. Report of the Institute of Freshwater Research No. 51. </w:t>
      </w:r>
      <w:proofErr w:type="spellStart"/>
      <w:r>
        <w:rPr>
          <w:rFonts w:ascii="Times New Roman" w:hAnsi="Times New Roman"/>
          <w:sz w:val="24"/>
          <w:szCs w:val="24"/>
        </w:rPr>
        <w:t>Drottningholm</w:t>
      </w:r>
      <w:proofErr w:type="spellEnd"/>
      <w:r>
        <w:rPr>
          <w:rFonts w:ascii="Times New Roman" w:hAnsi="Times New Roman"/>
          <w:sz w:val="24"/>
          <w:szCs w:val="24"/>
        </w:rPr>
        <w:t>, Sweden.</w:t>
      </w:r>
    </w:p>
    <w:p w14:paraId="02DED6BC"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ASAB Ethical Committee, &amp; ABS Animal Care Committee. (2024). Guidelines for the treatment of animals in behavioural research and teaching. Animal Behaviour, 207, I–XI. https://doi.org/10.1016/S0003-3472(21)00389-4</w:t>
      </w:r>
    </w:p>
    <w:p w14:paraId="02DED6BD"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Błońska</w:t>
      </w:r>
      <w:proofErr w:type="spellEnd"/>
      <w:r>
        <w:rPr>
          <w:rFonts w:ascii="Times New Roman" w:hAnsi="Times New Roman"/>
          <w:sz w:val="24"/>
          <w:szCs w:val="24"/>
        </w:rPr>
        <w:t xml:space="preserve">, D., Grabowska, J., Kobak, J., </w:t>
      </w:r>
      <w:proofErr w:type="spellStart"/>
      <w:r>
        <w:rPr>
          <w:rFonts w:ascii="Times New Roman" w:hAnsi="Times New Roman"/>
          <w:sz w:val="24"/>
          <w:szCs w:val="24"/>
        </w:rPr>
        <w:t>Jermacz</w:t>
      </w:r>
      <w:proofErr w:type="spellEnd"/>
      <w:r>
        <w:rPr>
          <w:rFonts w:ascii="Times New Roman" w:hAnsi="Times New Roman"/>
          <w:sz w:val="24"/>
          <w:szCs w:val="24"/>
        </w:rPr>
        <w:t xml:space="preserve">, Ł., &amp; </w:t>
      </w:r>
      <w:proofErr w:type="spellStart"/>
      <w:r>
        <w:rPr>
          <w:rFonts w:ascii="Times New Roman" w:hAnsi="Times New Roman"/>
          <w:sz w:val="24"/>
          <w:szCs w:val="24"/>
        </w:rPr>
        <w:t>Bacela</w:t>
      </w:r>
      <w:proofErr w:type="spellEnd"/>
      <w:r>
        <w:rPr>
          <w:rFonts w:ascii="Times New Roman" w:hAnsi="Times New Roman"/>
          <w:sz w:val="24"/>
          <w:szCs w:val="24"/>
        </w:rPr>
        <w:t>-Spychalska, K. (2015). Feeding preferences of an invasive Ponto-Caspian goby for native and non-native gammarid prey. Freshwater Biology, 60(10), 2187–2195. https://doi.org/10.1111/fwb.12647</w:t>
      </w:r>
    </w:p>
    <w:p w14:paraId="02DED6BE"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Britton, J. R., </w:t>
      </w:r>
      <w:proofErr w:type="spellStart"/>
      <w:r>
        <w:rPr>
          <w:rFonts w:ascii="Times New Roman" w:hAnsi="Times New Roman"/>
          <w:sz w:val="24"/>
          <w:szCs w:val="24"/>
        </w:rPr>
        <w:t>Cucherousset</w:t>
      </w:r>
      <w:proofErr w:type="spellEnd"/>
      <w:r>
        <w:rPr>
          <w:rFonts w:ascii="Times New Roman" w:hAnsi="Times New Roman"/>
          <w:sz w:val="24"/>
          <w:szCs w:val="24"/>
        </w:rPr>
        <w:t>, J., Davies, G. D., Godard, M. J., &amp; Copp, G. H. (2010). Non-native fishes and climate change: Predicting species responses to warming temperatures in a temperate region. Freshwater Biology, 55(5), 1130–1141. https://doi.org/10.1111/j.1365-2427.2010.02396.x</w:t>
      </w:r>
    </w:p>
    <w:p w14:paraId="02DED6BF"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Brooks, M. E., Kristensen, K., van Benthem, K. J., Magnusson, A., Berg, C. W., Nielsen, A., Skaug, H. J., </w:t>
      </w:r>
      <w:proofErr w:type="spellStart"/>
      <w:r>
        <w:rPr>
          <w:rFonts w:ascii="Times New Roman" w:hAnsi="Times New Roman"/>
          <w:sz w:val="24"/>
          <w:szCs w:val="24"/>
        </w:rPr>
        <w:t>Mächler</w:t>
      </w:r>
      <w:proofErr w:type="spellEnd"/>
      <w:r>
        <w:rPr>
          <w:rFonts w:ascii="Times New Roman" w:hAnsi="Times New Roman"/>
          <w:sz w:val="24"/>
          <w:szCs w:val="24"/>
        </w:rPr>
        <w:t xml:space="preserve">, M., &amp; Bolker, B. M. (2017). </w:t>
      </w:r>
      <w:proofErr w:type="spellStart"/>
      <w:r>
        <w:rPr>
          <w:rFonts w:ascii="Times New Roman" w:hAnsi="Times New Roman"/>
          <w:sz w:val="24"/>
          <w:szCs w:val="24"/>
        </w:rPr>
        <w:t>glmmTMB</w:t>
      </w:r>
      <w:proofErr w:type="spellEnd"/>
      <w:r>
        <w:rPr>
          <w:rFonts w:ascii="Times New Roman" w:hAnsi="Times New Roman"/>
          <w:sz w:val="24"/>
          <w:szCs w:val="24"/>
        </w:rPr>
        <w:t xml:space="preserve"> balances </w:t>
      </w:r>
      <w:r>
        <w:rPr>
          <w:rFonts w:ascii="Times New Roman" w:hAnsi="Times New Roman"/>
          <w:sz w:val="24"/>
          <w:szCs w:val="24"/>
        </w:rPr>
        <w:lastRenderedPageBreak/>
        <w:t xml:space="preserve">speed and flexibility among packages for zero-inflated Generalized Linear Mixed </w:t>
      </w:r>
      <w:proofErr w:type="spellStart"/>
      <w:r>
        <w:rPr>
          <w:rFonts w:ascii="Times New Roman" w:hAnsi="Times New Roman"/>
          <w:sz w:val="24"/>
          <w:szCs w:val="24"/>
        </w:rPr>
        <w:t>Modeling</w:t>
      </w:r>
      <w:proofErr w:type="spellEnd"/>
      <w:r>
        <w:rPr>
          <w:rFonts w:ascii="Times New Roman" w:hAnsi="Times New Roman"/>
          <w:sz w:val="24"/>
          <w:szCs w:val="24"/>
        </w:rPr>
        <w:t>. The R Journal, 9(2). https://doi.org/https://doi.org/10.3929/ethz-b-000240890</w:t>
      </w:r>
    </w:p>
    <w:p w14:paraId="02DED6C0"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Brûlé, C., Benhalima, K., Roux, M., Parent, G. J., Chavarria, C., &amp; Senay, C. (2024). Reduction in size‐at‐maturity in unprecedentedly strong cohorts of redfish (</w:t>
      </w:r>
      <w:r>
        <w:rPr>
          <w:rFonts w:ascii="Times New Roman" w:hAnsi="Times New Roman"/>
          <w:i/>
          <w:sz w:val="24"/>
          <w:szCs w:val="24"/>
        </w:rPr>
        <w:t xml:space="preserve">Sebastes </w:t>
      </w:r>
      <w:proofErr w:type="spellStart"/>
      <w:r>
        <w:rPr>
          <w:rFonts w:ascii="Times New Roman" w:hAnsi="Times New Roman"/>
          <w:i/>
          <w:sz w:val="24"/>
          <w:szCs w:val="24"/>
        </w:rPr>
        <w:t>mentella</w:t>
      </w:r>
      <w:proofErr w:type="spellEnd"/>
      <w:r>
        <w:rPr>
          <w:rFonts w:ascii="Times New Roman" w:hAnsi="Times New Roman"/>
          <w:i/>
          <w:sz w:val="24"/>
          <w:szCs w:val="24"/>
        </w:rPr>
        <w:t xml:space="preserve"> </w:t>
      </w:r>
      <w:r>
        <w:rPr>
          <w:rFonts w:ascii="Times New Roman" w:hAnsi="Times New Roman"/>
          <w:sz w:val="24"/>
          <w:szCs w:val="24"/>
        </w:rPr>
        <w:t xml:space="preserve">and </w:t>
      </w:r>
      <w:r>
        <w:rPr>
          <w:rFonts w:ascii="Times New Roman" w:hAnsi="Times New Roman"/>
          <w:i/>
          <w:sz w:val="24"/>
          <w:szCs w:val="24"/>
        </w:rPr>
        <w:t>S. fasciatus</w:t>
      </w:r>
      <w:r>
        <w:rPr>
          <w:rFonts w:ascii="Times New Roman" w:hAnsi="Times New Roman"/>
          <w:sz w:val="24"/>
          <w:szCs w:val="24"/>
        </w:rPr>
        <w:t>) in the Gulf of St. Lawrence and Laurentian Channel. Journal of Fish Biology, 104(5), 1366–1385. https://doi.org/10.1111/jfb.15677</w:t>
      </w:r>
    </w:p>
    <w:p w14:paraId="02DED6C1"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Brylińska</w:t>
      </w:r>
      <w:proofErr w:type="spellEnd"/>
      <w:r>
        <w:rPr>
          <w:rFonts w:ascii="Times New Roman" w:hAnsi="Times New Roman"/>
          <w:sz w:val="24"/>
          <w:szCs w:val="24"/>
        </w:rPr>
        <w:t xml:space="preserve">, M. (Ed.) (2000). Ryby </w:t>
      </w:r>
      <w:proofErr w:type="spellStart"/>
      <w:r>
        <w:rPr>
          <w:rFonts w:ascii="Times New Roman" w:hAnsi="Times New Roman"/>
          <w:sz w:val="24"/>
          <w:szCs w:val="24"/>
        </w:rPr>
        <w:t>słodkowodne</w:t>
      </w:r>
      <w:proofErr w:type="spellEnd"/>
      <w:r>
        <w:rPr>
          <w:rFonts w:ascii="Times New Roman" w:hAnsi="Times New Roman"/>
          <w:sz w:val="24"/>
          <w:szCs w:val="24"/>
        </w:rPr>
        <w:t xml:space="preserve"> Polski: Praca </w:t>
      </w:r>
      <w:proofErr w:type="spellStart"/>
      <w:r>
        <w:rPr>
          <w:rFonts w:ascii="Times New Roman" w:hAnsi="Times New Roman"/>
          <w:sz w:val="24"/>
          <w:szCs w:val="24"/>
        </w:rPr>
        <w:t>zbiorowa</w:t>
      </w:r>
      <w:proofErr w:type="spellEnd"/>
      <w:r>
        <w:rPr>
          <w:rFonts w:ascii="Times New Roman" w:hAnsi="Times New Roman"/>
          <w:sz w:val="24"/>
          <w:szCs w:val="24"/>
        </w:rPr>
        <w:t xml:space="preserve"> (3rd edition). </w:t>
      </w:r>
      <w:proofErr w:type="spellStart"/>
      <w:r>
        <w:rPr>
          <w:rFonts w:ascii="Times New Roman" w:hAnsi="Times New Roman"/>
          <w:sz w:val="24"/>
          <w:szCs w:val="24"/>
        </w:rPr>
        <w:t>Państwowe</w:t>
      </w:r>
      <w:proofErr w:type="spellEnd"/>
      <w:r>
        <w:rPr>
          <w:rFonts w:ascii="Times New Roman" w:hAnsi="Times New Roman"/>
          <w:sz w:val="24"/>
          <w:szCs w:val="24"/>
        </w:rPr>
        <w:t xml:space="preserve"> </w:t>
      </w:r>
      <w:proofErr w:type="spellStart"/>
      <w:r>
        <w:rPr>
          <w:rFonts w:ascii="Times New Roman" w:hAnsi="Times New Roman"/>
          <w:sz w:val="24"/>
          <w:szCs w:val="24"/>
        </w:rPr>
        <w:t>Wydawnictwo</w:t>
      </w:r>
      <w:proofErr w:type="spellEnd"/>
      <w:r>
        <w:rPr>
          <w:rFonts w:ascii="Times New Roman" w:hAnsi="Times New Roman"/>
          <w:sz w:val="24"/>
          <w:szCs w:val="24"/>
        </w:rPr>
        <w:t xml:space="preserve"> </w:t>
      </w:r>
      <w:proofErr w:type="spellStart"/>
      <w:r>
        <w:rPr>
          <w:rFonts w:ascii="Times New Roman" w:hAnsi="Times New Roman"/>
          <w:sz w:val="24"/>
          <w:szCs w:val="24"/>
        </w:rPr>
        <w:t>Naukowe</w:t>
      </w:r>
      <w:proofErr w:type="spellEnd"/>
      <w:r>
        <w:rPr>
          <w:rFonts w:ascii="Times New Roman" w:hAnsi="Times New Roman"/>
          <w:sz w:val="24"/>
          <w:szCs w:val="24"/>
        </w:rPr>
        <w:t>, Warsaw [in Polish]</w:t>
      </w:r>
    </w:p>
    <w:p w14:paraId="02DED6C2"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Carpenter, J. (2005). Competition for food between an introduced crayfish and two fishes endemic to the Colorado River basin. Environmental Biology of Fishes, 72(3), 335–342. https://doi.org/10.1007/s10641-004-2588-z</w:t>
      </w:r>
    </w:p>
    <w:p w14:paraId="02DED6C3"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Casties</w:t>
      </w:r>
      <w:proofErr w:type="spellEnd"/>
      <w:r>
        <w:rPr>
          <w:rFonts w:ascii="Times New Roman" w:hAnsi="Times New Roman"/>
          <w:sz w:val="24"/>
          <w:szCs w:val="24"/>
        </w:rPr>
        <w:t xml:space="preserve">, I., </w:t>
      </w:r>
      <w:proofErr w:type="spellStart"/>
      <w:r>
        <w:rPr>
          <w:rFonts w:ascii="Times New Roman" w:hAnsi="Times New Roman"/>
          <w:sz w:val="24"/>
          <w:szCs w:val="24"/>
        </w:rPr>
        <w:t>Seebens</w:t>
      </w:r>
      <w:proofErr w:type="spellEnd"/>
      <w:r>
        <w:rPr>
          <w:rFonts w:ascii="Times New Roman" w:hAnsi="Times New Roman"/>
          <w:sz w:val="24"/>
          <w:szCs w:val="24"/>
        </w:rPr>
        <w:t>, H., &amp; Briski, E. (2016). Importance of geographic origin for invasion success: A case study of the North and Baltic Seas versus the Great Lakes–St. Lawrence River region. Ecology and Evolution, 6(22), 8318–8329. https://doi.org/10.1002/ece3.2528</w:t>
      </w:r>
    </w:p>
    <w:p w14:paraId="02DED6C4"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Clarke, A., &amp; Fraser, K. P. P. (2004). Why does metabolism scale with temperature? Functional Ecology, 18(2), 243–251. https://doi.org/10.1111/j.0269-8463.2004.00841.x</w:t>
      </w:r>
    </w:p>
    <w:p w14:paraId="02DED6C5"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Clarke, A., &amp; Johnston, N. M. (1999). Scaling of metabolic rate with body mass and temperature in teleost fish. Journal of Animal Ecology, 68(5), 893–905. https://doi.org/10.1046/j.1365-2656.1999.00337.x</w:t>
      </w:r>
    </w:p>
    <w:p w14:paraId="02DED6C6"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Cuthbert, R. N., &amp; Briski, E. (2021). Temperature, not salinity, drives impact of an emerging invasive species. Science of the Total Environment, 780, 146640. https://doi.org/10.1016/j.scitotenv.2021.146640</w:t>
      </w:r>
    </w:p>
    <w:p w14:paraId="02DED6C7"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Cuthbert, R. N., </w:t>
      </w:r>
      <w:proofErr w:type="spellStart"/>
      <w:r>
        <w:rPr>
          <w:rFonts w:ascii="Times New Roman" w:hAnsi="Times New Roman"/>
          <w:sz w:val="24"/>
          <w:szCs w:val="24"/>
        </w:rPr>
        <w:t>Kotronaki</w:t>
      </w:r>
      <w:proofErr w:type="spellEnd"/>
      <w:r>
        <w:rPr>
          <w:rFonts w:ascii="Times New Roman" w:hAnsi="Times New Roman"/>
          <w:sz w:val="24"/>
          <w:szCs w:val="24"/>
        </w:rPr>
        <w:t xml:space="preserve">, S. G., Carlton, J. T., Ruiz, G. M., </w:t>
      </w:r>
      <w:proofErr w:type="spellStart"/>
      <w:r>
        <w:rPr>
          <w:rFonts w:ascii="Times New Roman" w:hAnsi="Times New Roman"/>
          <w:sz w:val="24"/>
          <w:szCs w:val="24"/>
        </w:rPr>
        <w:t>Fofonoff</w:t>
      </w:r>
      <w:proofErr w:type="spellEnd"/>
      <w:r>
        <w:rPr>
          <w:rFonts w:ascii="Times New Roman" w:hAnsi="Times New Roman"/>
          <w:sz w:val="24"/>
          <w:szCs w:val="24"/>
        </w:rPr>
        <w:t>, P., &amp; Briski, E. (2022). Aquatic invasion patterns across the North Atlantic. Global Change Biology, 28(4), 1376–1387. https://doi.org/10.1111/gcb.16016</w:t>
      </w:r>
    </w:p>
    <w:p w14:paraId="02DED6C8"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Cuthbert, R. N., Wasserman, R. J., Dalu, T., Kaiser, H., Weyl, O. L. F., Dick, J. T. A., </w:t>
      </w:r>
      <w:proofErr w:type="spellStart"/>
      <w:r>
        <w:rPr>
          <w:rFonts w:ascii="Times New Roman" w:hAnsi="Times New Roman"/>
          <w:sz w:val="24"/>
          <w:szCs w:val="24"/>
        </w:rPr>
        <w:t>Sentis</w:t>
      </w:r>
      <w:proofErr w:type="spellEnd"/>
      <w:r>
        <w:rPr>
          <w:rFonts w:ascii="Times New Roman" w:hAnsi="Times New Roman"/>
          <w:sz w:val="24"/>
          <w:szCs w:val="24"/>
        </w:rPr>
        <w:t>, A., McCoy, M. W., &amp; Alexander, M. E. (2020). Influence of intra‐ and interspecific variation in predator–prey body size ratios on trophic interaction strengths. Ecology and Evolution, 10(12), 5946–5962. https://doi.org/10.1002/ece3.6332</w:t>
      </w:r>
    </w:p>
    <w:p w14:paraId="02DED6C9"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Dick, J. T. A., Alexander, M. E., Ricciardi, A., Laverty, C., Downey, P. O., Xu, M., Jeschke, J. M., Saul, W.-C., Hill, M. P., Wasserman, R., Barrios-O’Neill, D., Weyl, O. L. F., &amp; Shaw, R. H. (2017). Functional responses can unify invasion ecology. Biological Invasions, 19(5), 1667–1672. https://doi.org/10.1007/s10530-016-1355-3</w:t>
      </w:r>
    </w:p>
    <w:p w14:paraId="02DED6CA"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Dudgeon, D., Arthington, A. H., Gessner, M. O., Kawabata, Z. I., Knowler, D. J., Lévêque, C., Naiman, R. J., Prieur-Richard, A. H., Soto, D., Stiassny, M. L. J., &amp; Sullivan, C. A. (2006). Freshwater biodiversity: Importance, threats, status and conservation challenges. Biological Reviews of the Cambridge Philosophical Society, 81(2), 163–182. https://doi.org/10.1017/S1464793105006950</w:t>
      </w:r>
    </w:p>
    <w:p w14:paraId="02DED6CB"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Englund, G., </w:t>
      </w:r>
      <w:proofErr w:type="spellStart"/>
      <w:r>
        <w:rPr>
          <w:rFonts w:ascii="Times New Roman" w:hAnsi="Times New Roman"/>
          <w:sz w:val="24"/>
          <w:szCs w:val="24"/>
        </w:rPr>
        <w:t>Öhlund</w:t>
      </w:r>
      <w:proofErr w:type="spellEnd"/>
      <w:r>
        <w:rPr>
          <w:rFonts w:ascii="Times New Roman" w:hAnsi="Times New Roman"/>
          <w:sz w:val="24"/>
          <w:szCs w:val="24"/>
        </w:rPr>
        <w:t>, G., Hein, C. L., &amp; Diehl, S. (2011). Temperature dependence of the functional response. Ecology Letters, 14(9), 914–921. https://doi.org/10.1111/j.1461-0248.2011.01661.x</w:t>
      </w:r>
    </w:p>
    <w:p w14:paraId="02DED6CC"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 xml:space="preserve">Faria, L., Cuthbert, R. N., Dickey, J. W. E., Jeschke, J. M., Ricciardi, A., Dick, J. T. A., &amp; </w:t>
      </w:r>
      <w:proofErr w:type="spellStart"/>
      <w:r>
        <w:rPr>
          <w:rFonts w:ascii="Times New Roman" w:hAnsi="Times New Roman"/>
          <w:sz w:val="24"/>
          <w:szCs w:val="24"/>
        </w:rPr>
        <w:t>Vitule</w:t>
      </w:r>
      <w:proofErr w:type="spellEnd"/>
      <w:r>
        <w:rPr>
          <w:rFonts w:ascii="Times New Roman" w:hAnsi="Times New Roman"/>
          <w:sz w:val="24"/>
          <w:szCs w:val="24"/>
        </w:rPr>
        <w:t xml:space="preserve">, J. R. S. (2023). The rise of the Functional Response in invasion science: a systematic review. </w:t>
      </w:r>
      <w:proofErr w:type="spellStart"/>
      <w:r>
        <w:rPr>
          <w:rFonts w:ascii="Times New Roman" w:hAnsi="Times New Roman"/>
          <w:sz w:val="24"/>
          <w:szCs w:val="24"/>
        </w:rPr>
        <w:t>NeoBiota</w:t>
      </w:r>
      <w:proofErr w:type="spellEnd"/>
      <w:r>
        <w:rPr>
          <w:rFonts w:ascii="Times New Roman" w:hAnsi="Times New Roman"/>
          <w:sz w:val="24"/>
          <w:szCs w:val="24"/>
        </w:rPr>
        <w:t>, 85, 43–79. https://doi.org/10.3897/neobiota.85.98902</w:t>
      </w:r>
    </w:p>
    <w:p w14:paraId="02DED6CD"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Faria, L., Cuthbert, R. N., Dickey, J. W. E., Jeschke, J. M., Ricciardi, A., Dick, J. T. A., &amp; </w:t>
      </w:r>
      <w:proofErr w:type="spellStart"/>
      <w:r>
        <w:rPr>
          <w:rFonts w:ascii="Times New Roman" w:hAnsi="Times New Roman"/>
          <w:sz w:val="24"/>
          <w:szCs w:val="24"/>
        </w:rPr>
        <w:t>Vitule</w:t>
      </w:r>
      <w:proofErr w:type="spellEnd"/>
      <w:r>
        <w:rPr>
          <w:rFonts w:ascii="Times New Roman" w:hAnsi="Times New Roman"/>
          <w:sz w:val="24"/>
          <w:szCs w:val="24"/>
        </w:rPr>
        <w:t>, J. R. S. (2025). Non‐native species have higher consumption rates than their native counterparts. Biological Reviews. https://doi.org/10.1111/brv.13179</w:t>
      </w:r>
    </w:p>
    <w:p w14:paraId="02DED6CE"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Gebauer, R., Veselý, L., Kouba, A., </w:t>
      </w:r>
      <w:proofErr w:type="spellStart"/>
      <w:r>
        <w:rPr>
          <w:rFonts w:ascii="Times New Roman" w:hAnsi="Times New Roman"/>
          <w:sz w:val="24"/>
          <w:szCs w:val="24"/>
        </w:rPr>
        <w:t>Buřič</w:t>
      </w:r>
      <w:proofErr w:type="spellEnd"/>
      <w:r>
        <w:rPr>
          <w:rFonts w:ascii="Times New Roman" w:hAnsi="Times New Roman"/>
          <w:sz w:val="24"/>
          <w:szCs w:val="24"/>
        </w:rPr>
        <w:t>, M., &amp; Drozd, B. (2018). Forecasting impact of existing and emerging invasive gobiids under temperature change using comparative functional responses. Aquatic Invasions, 13(2), 289–297. https://doi.org/10.3391/ai.2018.13.2.09</w:t>
      </w:r>
    </w:p>
    <w:p w14:paraId="02DED6CF"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Grabowska, J., </w:t>
      </w:r>
      <w:proofErr w:type="spellStart"/>
      <w:r>
        <w:rPr>
          <w:rFonts w:ascii="Times New Roman" w:hAnsi="Times New Roman"/>
          <w:sz w:val="24"/>
          <w:szCs w:val="24"/>
        </w:rPr>
        <w:t>Błońska</w:t>
      </w:r>
      <w:proofErr w:type="spellEnd"/>
      <w:r>
        <w:rPr>
          <w:rFonts w:ascii="Times New Roman" w:hAnsi="Times New Roman"/>
          <w:sz w:val="24"/>
          <w:szCs w:val="24"/>
        </w:rPr>
        <w:t xml:space="preserve">, D., </w:t>
      </w:r>
      <w:proofErr w:type="spellStart"/>
      <w:r>
        <w:rPr>
          <w:rFonts w:ascii="Times New Roman" w:hAnsi="Times New Roman"/>
          <w:sz w:val="24"/>
          <w:szCs w:val="24"/>
        </w:rPr>
        <w:t>Ondračková</w:t>
      </w:r>
      <w:proofErr w:type="spellEnd"/>
      <w:r>
        <w:rPr>
          <w:rFonts w:ascii="Times New Roman" w:hAnsi="Times New Roman"/>
          <w:sz w:val="24"/>
          <w:szCs w:val="24"/>
        </w:rPr>
        <w:t xml:space="preserve">, M., &amp; </w:t>
      </w:r>
      <w:proofErr w:type="spellStart"/>
      <w:r>
        <w:rPr>
          <w:rFonts w:ascii="Times New Roman" w:hAnsi="Times New Roman"/>
          <w:sz w:val="24"/>
          <w:szCs w:val="24"/>
        </w:rPr>
        <w:t>Kakareko</w:t>
      </w:r>
      <w:proofErr w:type="spellEnd"/>
      <w:r>
        <w:rPr>
          <w:rFonts w:ascii="Times New Roman" w:hAnsi="Times New Roman"/>
          <w:sz w:val="24"/>
          <w:szCs w:val="24"/>
        </w:rPr>
        <w:t>, T. (2023). The functional ecology of four invasive Ponto–Caspian gobies. Reviews in Fish Biology and Fisheries, 33(4), 1329–1352. https://doi.org/10.1007/s11160-023-09801-7</w:t>
      </w:r>
    </w:p>
    <w:p w14:paraId="02DED6D0"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Grabowska, J., &amp; Grabowski, M. (2005). Diel-feeding activity in early summer of racer goby </w:t>
      </w:r>
      <w:proofErr w:type="spellStart"/>
      <w:r>
        <w:rPr>
          <w:rFonts w:ascii="Times New Roman" w:hAnsi="Times New Roman"/>
          <w:i/>
          <w:sz w:val="24"/>
          <w:szCs w:val="24"/>
        </w:rPr>
        <w:t>Neogobius</w:t>
      </w:r>
      <w:proofErr w:type="spellEnd"/>
      <w:r>
        <w:rPr>
          <w:rFonts w:ascii="Times New Roman" w:hAnsi="Times New Roman"/>
          <w:i/>
          <w:sz w:val="24"/>
          <w:szCs w:val="24"/>
        </w:rPr>
        <w:t xml:space="preserve"> </w:t>
      </w:r>
      <w:proofErr w:type="spellStart"/>
      <w:r>
        <w:rPr>
          <w:rFonts w:ascii="Times New Roman" w:hAnsi="Times New Roman"/>
          <w:i/>
          <w:sz w:val="24"/>
          <w:szCs w:val="24"/>
        </w:rPr>
        <w:t>gymnotrachelus</w:t>
      </w:r>
      <w:proofErr w:type="spellEnd"/>
      <w:r>
        <w:rPr>
          <w:rFonts w:ascii="Times New Roman" w:hAnsi="Times New Roman"/>
          <w:sz w:val="24"/>
          <w:szCs w:val="24"/>
        </w:rPr>
        <w:t xml:space="preserve"> (</w:t>
      </w:r>
      <w:proofErr w:type="spellStart"/>
      <w:r>
        <w:rPr>
          <w:rFonts w:ascii="Times New Roman" w:hAnsi="Times New Roman"/>
          <w:sz w:val="24"/>
          <w:szCs w:val="24"/>
        </w:rPr>
        <w:t>Gobiidae</w:t>
      </w:r>
      <w:proofErr w:type="spellEnd"/>
      <w:r>
        <w:rPr>
          <w:rFonts w:ascii="Times New Roman" w:hAnsi="Times New Roman"/>
          <w:sz w:val="24"/>
          <w:szCs w:val="24"/>
        </w:rPr>
        <w:t>): A new invader in the Baltic basin. Journal of Applied Ichthyology, 21(4), 282–286. https://doi.org/10.1111/j.1439-0426.2005.00676.x</w:t>
      </w:r>
    </w:p>
    <w:p w14:paraId="02DED6D1"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Grabowska, J., </w:t>
      </w:r>
      <w:proofErr w:type="spellStart"/>
      <w:r>
        <w:rPr>
          <w:rFonts w:ascii="Times New Roman" w:hAnsi="Times New Roman"/>
          <w:sz w:val="24"/>
          <w:szCs w:val="24"/>
        </w:rPr>
        <w:t>Kakareko</w:t>
      </w:r>
      <w:proofErr w:type="spellEnd"/>
      <w:r>
        <w:rPr>
          <w:rFonts w:ascii="Times New Roman" w:hAnsi="Times New Roman"/>
          <w:sz w:val="24"/>
          <w:szCs w:val="24"/>
        </w:rPr>
        <w:t xml:space="preserve">, T., </w:t>
      </w:r>
      <w:proofErr w:type="spellStart"/>
      <w:r>
        <w:rPr>
          <w:rFonts w:ascii="Times New Roman" w:hAnsi="Times New Roman"/>
          <w:sz w:val="24"/>
          <w:szCs w:val="24"/>
        </w:rPr>
        <w:t>Błońska</w:t>
      </w:r>
      <w:proofErr w:type="spellEnd"/>
      <w:r>
        <w:rPr>
          <w:rFonts w:ascii="Times New Roman" w:hAnsi="Times New Roman"/>
          <w:sz w:val="24"/>
          <w:szCs w:val="24"/>
        </w:rPr>
        <w:t xml:space="preserve">, D., Przybylski, M., Kobak, J., </w:t>
      </w:r>
      <w:proofErr w:type="spellStart"/>
      <w:r>
        <w:rPr>
          <w:rFonts w:ascii="Times New Roman" w:hAnsi="Times New Roman"/>
          <w:sz w:val="24"/>
          <w:szCs w:val="24"/>
        </w:rPr>
        <w:t>Jermacz</w:t>
      </w:r>
      <w:proofErr w:type="spellEnd"/>
      <w:r>
        <w:rPr>
          <w:rFonts w:ascii="Times New Roman" w:hAnsi="Times New Roman"/>
          <w:sz w:val="24"/>
          <w:szCs w:val="24"/>
        </w:rPr>
        <w:t xml:space="preserve">, Ł., &amp; Copp, G. H. (2016). Interspecific competition for a shelter between non-native racer goby and native European bullhead under experimental conditions – Effects of season, fish size and light conditions. </w:t>
      </w:r>
      <w:proofErr w:type="spellStart"/>
      <w:r>
        <w:rPr>
          <w:rFonts w:ascii="Times New Roman" w:hAnsi="Times New Roman"/>
          <w:sz w:val="24"/>
          <w:szCs w:val="24"/>
        </w:rPr>
        <w:t>Limnologica</w:t>
      </w:r>
      <w:proofErr w:type="spellEnd"/>
      <w:r>
        <w:rPr>
          <w:rFonts w:ascii="Times New Roman" w:hAnsi="Times New Roman"/>
          <w:sz w:val="24"/>
          <w:szCs w:val="24"/>
        </w:rPr>
        <w:t>, 56, 30–38. https://doi.org/10.1016/j.limno.2015.11.004</w:t>
      </w:r>
    </w:p>
    <w:p w14:paraId="02DED6D2"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 xml:space="preserve">Graf, R., &amp; </w:t>
      </w:r>
      <w:proofErr w:type="spellStart"/>
      <w:r>
        <w:rPr>
          <w:rFonts w:ascii="Times New Roman" w:hAnsi="Times New Roman"/>
          <w:sz w:val="24"/>
          <w:szCs w:val="24"/>
        </w:rPr>
        <w:t>Wrzesiński</w:t>
      </w:r>
      <w:proofErr w:type="spellEnd"/>
      <w:r>
        <w:rPr>
          <w:rFonts w:ascii="Times New Roman" w:hAnsi="Times New Roman"/>
          <w:sz w:val="24"/>
          <w:szCs w:val="24"/>
        </w:rPr>
        <w:t xml:space="preserve">, D. (2020). Detecting patterns of changes in </w:t>
      </w:r>
      <w:proofErr w:type="spellStart"/>
      <w:r>
        <w:rPr>
          <w:rFonts w:ascii="Times New Roman" w:hAnsi="Times New Roman"/>
          <w:sz w:val="24"/>
          <w:szCs w:val="24"/>
        </w:rPr>
        <w:t>riverwater</w:t>
      </w:r>
      <w:proofErr w:type="spellEnd"/>
      <w:r>
        <w:rPr>
          <w:rFonts w:ascii="Times New Roman" w:hAnsi="Times New Roman"/>
          <w:sz w:val="24"/>
          <w:szCs w:val="24"/>
        </w:rPr>
        <w:t xml:space="preserve"> temperature in Poland. Water, 12(5), 1327. https://doi.org/10.3390/W12051327</w:t>
      </w:r>
    </w:p>
    <w:p w14:paraId="02DED6D3"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Halsey, L. G., Green, J. A., Twiss, S. D., Arnold, W., Burthe, S. J., Butler, P. J., Cooke, S. J., </w:t>
      </w:r>
      <w:proofErr w:type="spellStart"/>
      <w:r>
        <w:rPr>
          <w:rFonts w:ascii="Times New Roman" w:hAnsi="Times New Roman"/>
          <w:sz w:val="24"/>
          <w:szCs w:val="24"/>
        </w:rPr>
        <w:t>Grémillet</w:t>
      </w:r>
      <w:proofErr w:type="spellEnd"/>
      <w:r>
        <w:rPr>
          <w:rFonts w:ascii="Times New Roman" w:hAnsi="Times New Roman"/>
          <w:sz w:val="24"/>
          <w:szCs w:val="24"/>
        </w:rPr>
        <w:t xml:space="preserve">, D., Ruf, T., Hicks, O., Minta, K. J., </w:t>
      </w:r>
      <w:proofErr w:type="spellStart"/>
      <w:r>
        <w:rPr>
          <w:rFonts w:ascii="Times New Roman" w:hAnsi="Times New Roman"/>
          <w:sz w:val="24"/>
          <w:szCs w:val="24"/>
        </w:rPr>
        <w:t>Prystay</w:t>
      </w:r>
      <w:proofErr w:type="spellEnd"/>
      <w:r>
        <w:rPr>
          <w:rFonts w:ascii="Times New Roman" w:hAnsi="Times New Roman"/>
          <w:sz w:val="24"/>
          <w:szCs w:val="24"/>
        </w:rPr>
        <w:t xml:space="preserve">, T. S., Wascher, C. A. F., &amp; </w:t>
      </w:r>
      <w:proofErr w:type="spellStart"/>
      <w:r>
        <w:rPr>
          <w:rFonts w:ascii="Times New Roman" w:hAnsi="Times New Roman"/>
          <w:sz w:val="24"/>
          <w:szCs w:val="24"/>
        </w:rPr>
        <w:t>Careau</w:t>
      </w:r>
      <w:proofErr w:type="spellEnd"/>
      <w:r>
        <w:rPr>
          <w:rFonts w:ascii="Times New Roman" w:hAnsi="Times New Roman"/>
          <w:sz w:val="24"/>
          <w:szCs w:val="24"/>
        </w:rPr>
        <w:t>, V. (2019). Flexibility, variability and constraint in energy management patterns across vertebrate taxa revealed by long‐term heart rate measurements. Functional Ecology, 33(2), 260–272. https://doi.org/10.1111/1365-2435.13264</w:t>
      </w:r>
    </w:p>
    <w:p w14:paraId="02DED6D4"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Halsey, L. G., Killen, S. S., Clark, T. D., &amp; Norin, T. (2018). Exploring key issues of aerobic scope interpretation in ectotherms: absolute versus factorial. Reviews in Fish Biology and Fisheries, 28(2), 405–415. https://doi.org/10.1007/s11160-018-9516-3</w:t>
      </w:r>
    </w:p>
    <w:p w14:paraId="02DED6D5"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Hartig F. (2022). </w:t>
      </w:r>
      <w:proofErr w:type="spellStart"/>
      <w:r>
        <w:rPr>
          <w:rFonts w:ascii="Times New Roman" w:hAnsi="Times New Roman"/>
          <w:sz w:val="24"/>
          <w:szCs w:val="24"/>
        </w:rPr>
        <w:t>DHARMa</w:t>
      </w:r>
      <w:proofErr w:type="spellEnd"/>
      <w:r>
        <w:rPr>
          <w:rFonts w:ascii="Times New Roman" w:hAnsi="Times New Roman"/>
          <w:sz w:val="24"/>
          <w:szCs w:val="24"/>
        </w:rPr>
        <w:t>: Residual Diagnostics for Hierarchical (Multi-Level / Mixed) Regression Models. R package version 0.4.6, &lt;https://CRAN.R-project.org/package=DHARMa&gt;.</w:t>
      </w:r>
    </w:p>
    <w:p w14:paraId="02DED6D6"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Haubrock</w:t>
      </w:r>
      <w:proofErr w:type="spellEnd"/>
      <w:r>
        <w:rPr>
          <w:rFonts w:ascii="Times New Roman" w:hAnsi="Times New Roman"/>
          <w:sz w:val="24"/>
          <w:szCs w:val="24"/>
        </w:rPr>
        <w:t xml:space="preserve">, P. J., </w:t>
      </w:r>
      <w:proofErr w:type="spellStart"/>
      <w:r>
        <w:rPr>
          <w:rFonts w:ascii="Times New Roman" w:hAnsi="Times New Roman"/>
          <w:sz w:val="24"/>
          <w:szCs w:val="24"/>
        </w:rPr>
        <w:t>Pilotto</w:t>
      </w:r>
      <w:proofErr w:type="spellEnd"/>
      <w:r>
        <w:rPr>
          <w:rFonts w:ascii="Times New Roman" w:hAnsi="Times New Roman"/>
          <w:sz w:val="24"/>
          <w:szCs w:val="24"/>
        </w:rPr>
        <w:t xml:space="preserve">, F., Innocenti, G., </w:t>
      </w:r>
      <w:proofErr w:type="spellStart"/>
      <w:r>
        <w:rPr>
          <w:rFonts w:ascii="Times New Roman" w:hAnsi="Times New Roman"/>
          <w:sz w:val="24"/>
          <w:szCs w:val="24"/>
        </w:rPr>
        <w:t>Cianfanelli</w:t>
      </w:r>
      <w:proofErr w:type="spellEnd"/>
      <w:r>
        <w:rPr>
          <w:rFonts w:ascii="Times New Roman" w:hAnsi="Times New Roman"/>
          <w:sz w:val="24"/>
          <w:szCs w:val="24"/>
        </w:rPr>
        <w:t>, S., &amp; Haase, P. (2021). Two centuries for an almost complete community turnover from native to non‐native species in a riverine ecosystem. Global Change Biology, 27(3), 606–623. https://doi.org/10.1111/gcb.15442</w:t>
      </w:r>
    </w:p>
    <w:p w14:paraId="02DED6D7"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Hixon, M. A., Johnson, D. W., &amp; Sogard, S. M. (2014). BOFFFFs: on the importance of conserving old-growth age structure in fishery populations. ICES Journal of Marine Science, 71(8), 2171–2185. https://doi.org/10.1093/icesjms/fst200</w:t>
      </w:r>
    </w:p>
    <w:p w14:paraId="02DED6D8"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Holling, C. S. (1959a). Some characteristics of simple types of predation and parasitism. The Canadian Entomologist, 91(7), 385–398. https://doi.org/10.4039/Ent91385-7</w:t>
      </w:r>
    </w:p>
    <w:p w14:paraId="02DED6D9"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Holling, C. S. (1959b). The components of predation as revealed by a study of small-mammal predation of the European pine sawfly. The Canadian Entomologist, 91(5), 293–320. https://doi.org/10.4039/Ent91293-5</w:t>
      </w:r>
    </w:p>
    <w:p w14:paraId="02DED6DA"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Huang, D., Haack, R. A., &amp; Zhang, R. (2011). Does global warming increase establishment rates of invasive alien species? A centurial time series analysis. </w:t>
      </w:r>
      <w:proofErr w:type="spellStart"/>
      <w:r>
        <w:rPr>
          <w:rFonts w:ascii="Times New Roman" w:hAnsi="Times New Roman"/>
          <w:sz w:val="24"/>
          <w:szCs w:val="24"/>
        </w:rPr>
        <w:t>PLoS</w:t>
      </w:r>
      <w:proofErr w:type="spellEnd"/>
      <w:r>
        <w:rPr>
          <w:rFonts w:ascii="Times New Roman" w:hAnsi="Times New Roman"/>
          <w:sz w:val="24"/>
          <w:szCs w:val="24"/>
        </w:rPr>
        <w:t xml:space="preserve"> ONE, 6(9), e24733. https://doi.org/10.1371/journal.pone.0024733</w:t>
      </w:r>
    </w:p>
    <w:p w14:paraId="02DED6DB"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Iacarella</w:t>
      </w:r>
      <w:proofErr w:type="spellEnd"/>
      <w:r>
        <w:rPr>
          <w:rFonts w:ascii="Times New Roman" w:hAnsi="Times New Roman"/>
          <w:sz w:val="24"/>
          <w:szCs w:val="24"/>
        </w:rPr>
        <w:t>, J. C., Dick, J. T. A., Alexander, M. E., &amp; Ricciardi, A. (2015). Ecological impacts of invasive alien species along temperature gradients: testing the role of environmental matching. Ecological Applications, 25(3), 706–716. https://doi.org/10.1890/14-0545.1</w:t>
      </w:r>
    </w:p>
    <w:p w14:paraId="02DED6DC"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IPCC, 2023: Climate Change 2023: Synthesis Report. Contribution of Working Groups I, II and III to the Sixth Assessment Report of the Intergovernmental Panel on Climate Change [Core Writing Team, H. Lee and J. Romero (eds.)]. IPCC, Geneva, Switzerland, pp. 35-115, </w:t>
      </w:r>
      <w:proofErr w:type="spellStart"/>
      <w:r>
        <w:rPr>
          <w:rFonts w:ascii="Times New Roman" w:hAnsi="Times New Roman"/>
          <w:sz w:val="24"/>
          <w:szCs w:val="24"/>
        </w:rPr>
        <w:t>doi</w:t>
      </w:r>
      <w:proofErr w:type="spellEnd"/>
      <w:r>
        <w:rPr>
          <w:rFonts w:ascii="Times New Roman" w:hAnsi="Times New Roman"/>
          <w:sz w:val="24"/>
          <w:szCs w:val="24"/>
        </w:rPr>
        <w:t>: 10.59327/IPCC/AR6-9789291691647.</w:t>
      </w:r>
    </w:p>
    <w:p w14:paraId="02DED6DD"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Janáč, M., Roche, K., </w:t>
      </w:r>
      <w:proofErr w:type="spellStart"/>
      <w:r>
        <w:rPr>
          <w:rFonts w:ascii="Times New Roman" w:hAnsi="Times New Roman"/>
          <w:sz w:val="24"/>
          <w:szCs w:val="24"/>
        </w:rPr>
        <w:t>Šlapanský</w:t>
      </w:r>
      <w:proofErr w:type="spellEnd"/>
      <w:r>
        <w:rPr>
          <w:rFonts w:ascii="Times New Roman" w:hAnsi="Times New Roman"/>
          <w:sz w:val="24"/>
          <w:szCs w:val="24"/>
        </w:rPr>
        <w:t xml:space="preserve">, L., </w:t>
      </w:r>
      <w:proofErr w:type="spellStart"/>
      <w:r>
        <w:rPr>
          <w:rFonts w:ascii="Times New Roman" w:hAnsi="Times New Roman"/>
          <w:sz w:val="24"/>
          <w:szCs w:val="24"/>
        </w:rPr>
        <w:t>Polačik</w:t>
      </w:r>
      <w:proofErr w:type="spellEnd"/>
      <w:r>
        <w:rPr>
          <w:rFonts w:ascii="Times New Roman" w:hAnsi="Times New Roman"/>
          <w:sz w:val="24"/>
          <w:szCs w:val="24"/>
        </w:rPr>
        <w:t xml:space="preserve">, M., &amp; </w:t>
      </w:r>
      <w:proofErr w:type="spellStart"/>
      <w:r>
        <w:rPr>
          <w:rFonts w:ascii="Times New Roman" w:hAnsi="Times New Roman"/>
          <w:sz w:val="24"/>
          <w:szCs w:val="24"/>
        </w:rPr>
        <w:t>Jurajda</w:t>
      </w:r>
      <w:proofErr w:type="spellEnd"/>
      <w:r>
        <w:rPr>
          <w:rFonts w:ascii="Times New Roman" w:hAnsi="Times New Roman"/>
          <w:sz w:val="24"/>
          <w:szCs w:val="24"/>
        </w:rPr>
        <w:t xml:space="preserve">, P. (2018). Long-term monitoring of native bullhead and invasive gobiids in the </w:t>
      </w:r>
      <w:proofErr w:type="spellStart"/>
      <w:r>
        <w:rPr>
          <w:rFonts w:ascii="Times New Roman" w:hAnsi="Times New Roman"/>
          <w:sz w:val="24"/>
          <w:szCs w:val="24"/>
        </w:rPr>
        <w:t>Danubian</w:t>
      </w:r>
      <w:proofErr w:type="spellEnd"/>
      <w:r>
        <w:rPr>
          <w:rFonts w:ascii="Times New Roman" w:hAnsi="Times New Roman"/>
          <w:sz w:val="24"/>
          <w:szCs w:val="24"/>
        </w:rPr>
        <w:t xml:space="preserve"> rip-rap zone. </w:t>
      </w:r>
      <w:proofErr w:type="spellStart"/>
      <w:r>
        <w:rPr>
          <w:rFonts w:ascii="Times New Roman" w:hAnsi="Times New Roman"/>
          <w:sz w:val="24"/>
          <w:szCs w:val="24"/>
        </w:rPr>
        <w:t>Hydrobiologia</w:t>
      </w:r>
      <w:proofErr w:type="spellEnd"/>
      <w:r>
        <w:rPr>
          <w:rFonts w:ascii="Times New Roman" w:hAnsi="Times New Roman"/>
          <w:sz w:val="24"/>
          <w:szCs w:val="24"/>
        </w:rPr>
        <w:t>, 807, 263–275. https://doi.org/10.1007/s10750-017-3398-6</w:t>
      </w:r>
    </w:p>
    <w:p w14:paraId="02DED6DE"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Juliano, S. A. (2001). Nonlinear curve fitting: predation and functional response curves. In S. Scheiner (Ed.), Design and analysis of ecological experiments (2nd ed., p. 45). Chapman and Hall/CRC. https://www.taylorfrancis.com/chapters/edit/10.1201/9781003059813-8/nonlinear-curve-fitting-predation-functional-response-curves-steven-juliano</w:t>
      </w:r>
    </w:p>
    <w:p w14:paraId="02DED6DF"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lastRenderedPageBreak/>
        <w:t>Jutfelt</w:t>
      </w:r>
      <w:proofErr w:type="spellEnd"/>
      <w:r>
        <w:rPr>
          <w:rFonts w:ascii="Times New Roman" w:hAnsi="Times New Roman"/>
          <w:sz w:val="24"/>
          <w:szCs w:val="24"/>
        </w:rPr>
        <w:t>, F., Norin, T., Åsheim, E. R., Rowsey, L. E., Andreassen, A. H., Morgan, R., Clark, T. D., &amp; Speers‐Roesch, B. (2021). ‘Aerobic scope protection’ reduces ectotherm growth under warming. Functional Ecology, 35(7), 1397–1407. https://doi.org/10.1111/1365-2435.13811</w:t>
      </w:r>
    </w:p>
    <w:p w14:paraId="02DED6E0"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Kakareko</w:t>
      </w:r>
      <w:proofErr w:type="spellEnd"/>
      <w:r>
        <w:rPr>
          <w:rFonts w:ascii="Times New Roman" w:hAnsi="Times New Roman"/>
          <w:sz w:val="24"/>
          <w:szCs w:val="24"/>
        </w:rPr>
        <w:t xml:space="preserve">, T., Kobak, J., Grabowska, J., </w:t>
      </w:r>
      <w:proofErr w:type="spellStart"/>
      <w:r>
        <w:rPr>
          <w:rFonts w:ascii="Times New Roman" w:hAnsi="Times New Roman"/>
          <w:sz w:val="24"/>
          <w:szCs w:val="24"/>
        </w:rPr>
        <w:t>Jermacz</w:t>
      </w:r>
      <w:proofErr w:type="spellEnd"/>
      <w:r>
        <w:rPr>
          <w:rFonts w:ascii="Times New Roman" w:hAnsi="Times New Roman"/>
          <w:sz w:val="24"/>
          <w:szCs w:val="24"/>
        </w:rPr>
        <w:t xml:space="preserve">, Ł., Przybylski, M., Poznańska, M., Pietraszewski, D., &amp; Copp, G. H. (2013). Competitive interactions for food resources between invasive racer goby </w:t>
      </w:r>
      <w:r>
        <w:rPr>
          <w:rFonts w:ascii="Times New Roman" w:hAnsi="Times New Roman"/>
          <w:i/>
          <w:sz w:val="24"/>
          <w:szCs w:val="24"/>
        </w:rPr>
        <w:t xml:space="preserve">Babka </w:t>
      </w:r>
      <w:proofErr w:type="spellStart"/>
      <w:r>
        <w:rPr>
          <w:rFonts w:ascii="Times New Roman" w:hAnsi="Times New Roman"/>
          <w:i/>
          <w:sz w:val="24"/>
          <w:szCs w:val="24"/>
        </w:rPr>
        <w:t>gymnotrachelus</w:t>
      </w:r>
      <w:proofErr w:type="spellEnd"/>
      <w:r>
        <w:rPr>
          <w:rFonts w:ascii="Times New Roman" w:hAnsi="Times New Roman"/>
          <w:sz w:val="24"/>
          <w:szCs w:val="24"/>
        </w:rPr>
        <w:t xml:space="preserve"> and native European bullhead </w:t>
      </w:r>
      <w:r>
        <w:rPr>
          <w:rFonts w:ascii="Times New Roman" w:hAnsi="Times New Roman"/>
          <w:i/>
          <w:sz w:val="24"/>
          <w:szCs w:val="24"/>
        </w:rPr>
        <w:t>Cottus gobio</w:t>
      </w:r>
      <w:r>
        <w:rPr>
          <w:rFonts w:ascii="Times New Roman" w:hAnsi="Times New Roman"/>
          <w:sz w:val="24"/>
          <w:szCs w:val="24"/>
        </w:rPr>
        <w:t>. Biological Invasions, 15(11), 2519–2530. https://doi.org/10.1007/s10530-013-0470-7</w:t>
      </w:r>
    </w:p>
    <w:p w14:paraId="02DED6E1"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Kakareko</w:t>
      </w:r>
      <w:proofErr w:type="spellEnd"/>
      <w:r>
        <w:rPr>
          <w:rFonts w:ascii="Times New Roman" w:hAnsi="Times New Roman"/>
          <w:sz w:val="24"/>
          <w:szCs w:val="24"/>
        </w:rPr>
        <w:t xml:space="preserve">, T., Kobak, J., Poznańska, M., </w:t>
      </w:r>
      <w:proofErr w:type="spellStart"/>
      <w:r>
        <w:rPr>
          <w:rFonts w:ascii="Times New Roman" w:hAnsi="Times New Roman"/>
          <w:sz w:val="24"/>
          <w:szCs w:val="24"/>
        </w:rPr>
        <w:t>Jermacz</w:t>
      </w:r>
      <w:proofErr w:type="spellEnd"/>
      <w:r>
        <w:rPr>
          <w:rFonts w:ascii="Times New Roman" w:hAnsi="Times New Roman"/>
          <w:sz w:val="24"/>
          <w:szCs w:val="24"/>
        </w:rPr>
        <w:t>, Ł., &amp; Copp, G. H. (2016). Underwater evaluation of habitat partitioning in a European river between a non-native invader, the racer goby and a threatened native fish, the European bullhead. Ecology of Freshwater Fish, 25(1), 60–71. https://doi.org/10.1111/eff.12191</w:t>
      </w:r>
    </w:p>
    <w:p w14:paraId="02DED6E2"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Kalinkat</w:t>
      </w:r>
      <w:proofErr w:type="spellEnd"/>
      <w:r>
        <w:rPr>
          <w:rFonts w:ascii="Times New Roman" w:hAnsi="Times New Roman"/>
          <w:sz w:val="24"/>
          <w:szCs w:val="24"/>
        </w:rPr>
        <w:t>, G., Schneider, F. D., Digel, C., Guill, C., Rall, B. C., &amp; Brose, U. (2013). Body masses, functional responses and predator-prey stability. Ecology Letters, 16(9), 1126–1134. https://doi.org/10.1111/ele.12147</w:t>
      </w:r>
    </w:p>
    <w:p w14:paraId="02DED6E3"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Kłosiński</w:t>
      </w:r>
      <w:proofErr w:type="spellEnd"/>
      <w:r>
        <w:rPr>
          <w:rFonts w:ascii="Times New Roman" w:hAnsi="Times New Roman"/>
          <w:sz w:val="24"/>
          <w:szCs w:val="24"/>
        </w:rPr>
        <w:t xml:space="preserve">, P., Kobak, J., &amp; </w:t>
      </w:r>
      <w:proofErr w:type="spellStart"/>
      <w:r>
        <w:rPr>
          <w:rFonts w:ascii="Times New Roman" w:hAnsi="Times New Roman"/>
          <w:sz w:val="24"/>
          <w:szCs w:val="24"/>
        </w:rPr>
        <w:t>Kakareko</w:t>
      </w:r>
      <w:proofErr w:type="spellEnd"/>
      <w:r>
        <w:rPr>
          <w:rFonts w:ascii="Times New Roman" w:hAnsi="Times New Roman"/>
          <w:sz w:val="24"/>
          <w:szCs w:val="24"/>
        </w:rPr>
        <w:t>, T. (2024). Metabolic rate of two invasive Ponto‐Caspian goby species and their native competitors in the context of global warming. Freshwater Biology, 69(7), 971–983. https://doi.org/10.1111/fwb.14259</w:t>
      </w:r>
    </w:p>
    <w:p w14:paraId="02DED6E4"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Knouft</w:t>
      </w:r>
      <w:proofErr w:type="spellEnd"/>
      <w:r>
        <w:rPr>
          <w:rFonts w:ascii="Times New Roman" w:hAnsi="Times New Roman"/>
          <w:sz w:val="24"/>
          <w:szCs w:val="24"/>
        </w:rPr>
        <w:t>, J. H., &amp; Ficklin, D. L. (2017). The potential impacts of climate change on biodiversity in flowing freshwater systems. Annual Review of Ecology, Evolution, and Systematics, 48(1), 111–133. https://doi.org/10.1146/annurev-ecolsys-110316-022803</w:t>
      </w:r>
    </w:p>
    <w:p w14:paraId="02DED6E5"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Kordas, R. L., Harley, C. D. G., &amp; O’Connor, M. I. (2011). Community ecology in a warming world: The influence of temperature on interspecific interactions in marine systems. Journal of Experimental Marine Biology and Ecology, 400(1–2), 218–226. https://doi.org/10.1016/j.jembe.2011.02.029</w:t>
      </w:r>
    </w:p>
    <w:p w14:paraId="02DED6E6"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Kottelat</w:t>
      </w:r>
      <w:proofErr w:type="spellEnd"/>
      <w:r>
        <w:rPr>
          <w:rFonts w:ascii="Times New Roman" w:hAnsi="Times New Roman"/>
          <w:sz w:val="24"/>
          <w:szCs w:val="24"/>
        </w:rPr>
        <w:t xml:space="preserve">, M., &amp; </w:t>
      </w:r>
      <w:proofErr w:type="spellStart"/>
      <w:r>
        <w:rPr>
          <w:rFonts w:ascii="Times New Roman" w:hAnsi="Times New Roman"/>
          <w:sz w:val="24"/>
          <w:szCs w:val="24"/>
        </w:rPr>
        <w:t>Freyhof</w:t>
      </w:r>
      <w:proofErr w:type="spellEnd"/>
      <w:r>
        <w:rPr>
          <w:rFonts w:ascii="Times New Roman" w:hAnsi="Times New Roman"/>
          <w:sz w:val="24"/>
          <w:szCs w:val="24"/>
        </w:rPr>
        <w:t xml:space="preserve">, J. (2007). Handbook of European freshwater fishes. Cornol, Switzerland: Publications </w:t>
      </w:r>
      <w:proofErr w:type="spellStart"/>
      <w:r>
        <w:rPr>
          <w:rFonts w:ascii="Times New Roman" w:hAnsi="Times New Roman"/>
          <w:sz w:val="24"/>
          <w:szCs w:val="24"/>
        </w:rPr>
        <w:t>Kottelat</w:t>
      </w:r>
      <w:proofErr w:type="spellEnd"/>
      <w:r>
        <w:rPr>
          <w:rFonts w:ascii="Times New Roman" w:hAnsi="Times New Roman"/>
          <w:sz w:val="24"/>
          <w:szCs w:val="24"/>
        </w:rPr>
        <w:t>.</w:t>
      </w:r>
    </w:p>
    <w:p w14:paraId="02DED6E7" w14:textId="77777777" w:rsidR="00B33FFC" w:rsidRDefault="002F6BE4">
      <w:pPr>
        <w:spacing w:after="240" w:line="480" w:lineRule="auto"/>
        <w:ind w:left="425" w:hanging="60"/>
        <w:rPr>
          <w:rFonts w:ascii="Times New Roman" w:hAnsi="Times New Roman"/>
          <w:sz w:val="24"/>
          <w:szCs w:val="24"/>
        </w:rPr>
      </w:pPr>
      <w:r>
        <w:rPr>
          <w:rFonts w:ascii="Times New Roman" w:hAnsi="Times New Roman"/>
          <w:sz w:val="24"/>
          <w:szCs w:val="24"/>
        </w:rPr>
        <w:t>Landi P, McCoy MW, Vonesh JR (2022) Predicting invasive consumer impact via the comparative functional response approach: linking application to ecological theory. Biological Invasions 24: 3565–3579. https://doi.org/10.1007/s10530-022-02862-y</w:t>
      </w:r>
    </w:p>
    <w:p w14:paraId="02DED6E8"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Lenth R (2023). </w:t>
      </w:r>
      <w:proofErr w:type="spellStart"/>
      <w:r>
        <w:rPr>
          <w:rFonts w:ascii="Times New Roman" w:hAnsi="Times New Roman"/>
          <w:sz w:val="24"/>
          <w:szCs w:val="24"/>
        </w:rPr>
        <w:t>emmeans</w:t>
      </w:r>
      <w:proofErr w:type="spellEnd"/>
      <w:r>
        <w:rPr>
          <w:rFonts w:ascii="Times New Roman" w:hAnsi="Times New Roman"/>
          <w:sz w:val="24"/>
          <w:szCs w:val="24"/>
        </w:rPr>
        <w:t>: Estimated Marginal Means, aka Least-Squares Means. R package version 1.8.7, &lt;https://CRAN.R-project.org/package=emmeans&gt;.</w:t>
      </w:r>
    </w:p>
    <w:p w14:paraId="02DED6E9"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Leuven, R. S. E. W., Hendriks, A. J., </w:t>
      </w:r>
      <w:proofErr w:type="spellStart"/>
      <w:r>
        <w:rPr>
          <w:rFonts w:ascii="Times New Roman" w:hAnsi="Times New Roman"/>
          <w:sz w:val="24"/>
          <w:szCs w:val="24"/>
        </w:rPr>
        <w:t>Huijbregts</w:t>
      </w:r>
      <w:proofErr w:type="spellEnd"/>
      <w:r>
        <w:rPr>
          <w:rFonts w:ascii="Times New Roman" w:hAnsi="Times New Roman"/>
          <w:sz w:val="24"/>
          <w:szCs w:val="24"/>
        </w:rPr>
        <w:t>, M. A. J., Lenders, H. J. R., Matthews, J., &amp; Velde, G. Van Der. (2011). Differences in sensitivity of native and exotic fish species to changes in river temperature. Current Zoology, 57(6), 852–862. https://doi.org/10.1093/czoolo/57.6.852</w:t>
      </w:r>
    </w:p>
    <w:p w14:paraId="02DED6EA"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Lima, S. L., &amp; Dill, L. M. (1990). </w:t>
      </w:r>
      <w:proofErr w:type="spellStart"/>
      <w:r>
        <w:rPr>
          <w:rFonts w:ascii="Times New Roman" w:hAnsi="Times New Roman"/>
          <w:sz w:val="24"/>
          <w:szCs w:val="24"/>
        </w:rPr>
        <w:t>Behavioral</w:t>
      </w:r>
      <w:proofErr w:type="spellEnd"/>
      <w:r>
        <w:rPr>
          <w:rFonts w:ascii="Times New Roman" w:hAnsi="Times New Roman"/>
          <w:sz w:val="24"/>
          <w:szCs w:val="24"/>
        </w:rPr>
        <w:t xml:space="preserve"> decisions made under the risk of predation: a review and prospectus. Canadian Journal of Zoology, 68(4), 619–640. https://doi.org/10.1139/z90-092</w:t>
      </w:r>
    </w:p>
    <w:p w14:paraId="02DED6EB"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Martinez Reyes, C., Cuthbert, R.N., Langrehr, L., &amp; Briski, E (2024). Warming, not acidification, favours survival of non-indigenous over native gammarid species. Biological Invasions 26, 591–604. https://doi.org/10.1007/s10530-023-03196-z</w:t>
      </w:r>
    </w:p>
    <w:p w14:paraId="02DED6EC"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Mills, C. A., &amp; Mann, R. H. K. (1983). The bullhead </w:t>
      </w:r>
      <w:r>
        <w:rPr>
          <w:rFonts w:ascii="Times New Roman" w:hAnsi="Times New Roman"/>
          <w:i/>
          <w:sz w:val="24"/>
          <w:szCs w:val="24"/>
        </w:rPr>
        <w:t>Cottus gobio</w:t>
      </w:r>
      <w:r>
        <w:rPr>
          <w:rFonts w:ascii="Times New Roman" w:hAnsi="Times New Roman"/>
          <w:sz w:val="24"/>
          <w:szCs w:val="24"/>
        </w:rPr>
        <w:t>, a versatile and successful fish. In Fifty-first annual report for the year ended 31st March 1983 (pp. 76–</w:t>
      </w:r>
      <w:r>
        <w:rPr>
          <w:rFonts w:ascii="Times New Roman" w:hAnsi="Times New Roman"/>
          <w:sz w:val="24"/>
          <w:szCs w:val="24"/>
        </w:rPr>
        <w:lastRenderedPageBreak/>
        <w:t>88). Freshwater Biological Association. https://agris.fao.org/agris-search/search.do?recordID=AV2012055893</w:t>
      </w:r>
    </w:p>
    <w:p w14:paraId="02DED6ED"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Nunes, A. L., Tricarico, E., Panov, V. E., Cardoso, A. C., &amp; </w:t>
      </w:r>
      <w:proofErr w:type="spellStart"/>
      <w:r>
        <w:rPr>
          <w:rFonts w:ascii="Times New Roman" w:hAnsi="Times New Roman"/>
          <w:sz w:val="24"/>
          <w:szCs w:val="24"/>
        </w:rPr>
        <w:t>Katsanevakis</w:t>
      </w:r>
      <w:proofErr w:type="spellEnd"/>
      <w:r>
        <w:rPr>
          <w:rFonts w:ascii="Times New Roman" w:hAnsi="Times New Roman"/>
          <w:sz w:val="24"/>
          <w:szCs w:val="24"/>
        </w:rPr>
        <w:t>, S. (2015). Pathways and gateways of freshwater invasions in Europe. Aquatic Invasions, 10(4), 359–370. https://doi.org/10.3391/ai.2015.10.4.01</w:t>
      </w:r>
    </w:p>
    <w:p w14:paraId="02DED6EE"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Ohlberger</w:t>
      </w:r>
      <w:proofErr w:type="spellEnd"/>
      <w:r>
        <w:rPr>
          <w:rFonts w:ascii="Times New Roman" w:hAnsi="Times New Roman"/>
          <w:sz w:val="24"/>
          <w:szCs w:val="24"/>
        </w:rPr>
        <w:t>, J. (2013). Climate warming and ectotherm body size – from individual physiology to community ecology. Functional Ecology, 27(4), 991–1001. https://doi.org/10.1111/1365-2435.12098</w:t>
      </w:r>
    </w:p>
    <w:p w14:paraId="02DED6EF"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Palmer, T. N., &amp; Räisänen, J. (2002). Quantifying the risk of extreme seasonal precipitation events in a changing climate. Nature, 415(6871), 512–514. https://doi.org/10.1038/415512a</w:t>
      </w:r>
    </w:p>
    <w:p w14:paraId="02DED6F0"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Parmesan, C., &amp; Yohe, G. (2003). A globally coherent fingerprint of climate change impacts across natural systems. Nature, 421(6918), 37–42. https://doi.org/10.1038/nature01286</w:t>
      </w:r>
    </w:p>
    <w:p w14:paraId="02DED6F1"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Patil, J. R., Sharma, P. P., &amp; Mhatre, K. J. (2021). Global warming induced stress and its impact on biodiversity. Journal of Science and Technology, 6(3), 21–29. https://doi.org/10.46243/jst.2021.v6.i3.pp21-29</w:t>
      </w:r>
    </w:p>
    <w:p w14:paraId="02DED6F2"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Płąchocki</w:t>
      </w:r>
      <w:proofErr w:type="spellEnd"/>
      <w:r>
        <w:rPr>
          <w:rFonts w:ascii="Times New Roman" w:hAnsi="Times New Roman"/>
          <w:sz w:val="24"/>
          <w:szCs w:val="24"/>
        </w:rPr>
        <w:t>, D., Kobak, J., Poznańska-</w:t>
      </w:r>
      <w:proofErr w:type="spellStart"/>
      <w:r>
        <w:rPr>
          <w:rFonts w:ascii="Times New Roman" w:hAnsi="Times New Roman"/>
          <w:sz w:val="24"/>
          <w:szCs w:val="24"/>
        </w:rPr>
        <w:t>Kakareko</w:t>
      </w:r>
      <w:proofErr w:type="spellEnd"/>
      <w:r>
        <w:rPr>
          <w:rFonts w:ascii="Times New Roman" w:hAnsi="Times New Roman"/>
          <w:sz w:val="24"/>
          <w:szCs w:val="24"/>
        </w:rPr>
        <w:t xml:space="preserve">, M., &amp; </w:t>
      </w:r>
      <w:proofErr w:type="spellStart"/>
      <w:r>
        <w:rPr>
          <w:rFonts w:ascii="Times New Roman" w:hAnsi="Times New Roman"/>
          <w:sz w:val="24"/>
          <w:szCs w:val="24"/>
        </w:rPr>
        <w:t>Kakareko</w:t>
      </w:r>
      <w:proofErr w:type="spellEnd"/>
      <w:r>
        <w:rPr>
          <w:rFonts w:ascii="Times New Roman" w:hAnsi="Times New Roman"/>
          <w:sz w:val="24"/>
          <w:szCs w:val="24"/>
        </w:rPr>
        <w:t>, T. (2020). Environmental factors associated with the occurrence of the Ponto–Caspian gobies in a lowland river belonging to the central European invasion corridor. River Research and Applications, 36(1), 25–35. https://doi.org/10.1002/rra.3543</w:t>
      </w:r>
    </w:p>
    <w:p w14:paraId="02DED6F3"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 xml:space="preserve">Pritchard, D. W., Paterson, R. A., Bovy, H. C., &amp; Barrios-O’Neill, D. (2017). </w:t>
      </w:r>
      <w:proofErr w:type="spellStart"/>
      <w:r>
        <w:rPr>
          <w:rFonts w:ascii="Times New Roman" w:hAnsi="Times New Roman"/>
          <w:sz w:val="24"/>
          <w:szCs w:val="24"/>
        </w:rPr>
        <w:t>frair</w:t>
      </w:r>
      <w:proofErr w:type="spellEnd"/>
      <w:r>
        <w:rPr>
          <w:rFonts w:ascii="Times New Roman" w:hAnsi="Times New Roman"/>
          <w:sz w:val="24"/>
          <w:szCs w:val="24"/>
        </w:rPr>
        <w:t>: an R package for fitting and comparing consumer functional responses. Methods in Ecology and Evolution, 8(11), 1528–1534. https://doi.org/10.1111/2041-210X.12784</w:t>
      </w:r>
    </w:p>
    <w:p w14:paraId="02DED6F4"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Raab, D., </w:t>
      </w:r>
      <w:proofErr w:type="spellStart"/>
      <w:r>
        <w:rPr>
          <w:rFonts w:ascii="Times New Roman" w:hAnsi="Times New Roman"/>
          <w:sz w:val="24"/>
          <w:szCs w:val="24"/>
        </w:rPr>
        <w:t>Mandrak</w:t>
      </w:r>
      <w:proofErr w:type="spellEnd"/>
      <w:r>
        <w:rPr>
          <w:rFonts w:ascii="Times New Roman" w:hAnsi="Times New Roman"/>
          <w:sz w:val="24"/>
          <w:szCs w:val="24"/>
        </w:rPr>
        <w:t xml:space="preserve">, N. E., &amp; Ricciardi, A. (2018). Low-head dams facilitate Round Goby </w:t>
      </w:r>
      <w:proofErr w:type="spellStart"/>
      <w:r>
        <w:rPr>
          <w:rFonts w:ascii="Times New Roman" w:hAnsi="Times New Roman"/>
          <w:i/>
          <w:sz w:val="24"/>
          <w:szCs w:val="24"/>
        </w:rPr>
        <w:t>Neogobius</w:t>
      </w:r>
      <w:proofErr w:type="spellEnd"/>
      <w:r>
        <w:rPr>
          <w:rFonts w:ascii="Times New Roman" w:hAnsi="Times New Roman"/>
          <w:i/>
          <w:sz w:val="24"/>
          <w:szCs w:val="24"/>
        </w:rPr>
        <w:t xml:space="preserve"> </w:t>
      </w:r>
      <w:proofErr w:type="spellStart"/>
      <w:r>
        <w:rPr>
          <w:rFonts w:ascii="Times New Roman" w:hAnsi="Times New Roman"/>
          <w:i/>
          <w:sz w:val="24"/>
          <w:szCs w:val="24"/>
        </w:rPr>
        <w:t>melanostomus</w:t>
      </w:r>
      <w:proofErr w:type="spellEnd"/>
      <w:r>
        <w:rPr>
          <w:rFonts w:ascii="Times New Roman" w:hAnsi="Times New Roman"/>
          <w:sz w:val="24"/>
          <w:szCs w:val="24"/>
        </w:rPr>
        <w:t xml:space="preserve"> invasion. Biological Invasions, 20(3), 757–776. https://doi.org/10.1007/s10530-017-1573-3</w:t>
      </w:r>
    </w:p>
    <w:p w14:paraId="02DED6F5"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Rewicz</w:t>
      </w:r>
      <w:proofErr w:type="spellEnd"/>
      <w:r>
        <w:rPr>
          <w:rFonts w:ascii="Times New Roman" w:hAnsi="Times New Roman"/>
          <w:sz w:val="24"/>
          <w:szCs w:val="24"/>
        </w:rPr>
        <w:t xml:space="preserve">, T., Grabowski, M., MacNeil, C., &amp; </w:t>
      </w:r>
      <w:proofErr w:type="spellStart"/>
      <w:r>
        <w:rPr>
          <w:rFonts w:ascii="Times New Roman" w:hAnsi="Times New Roman"/>
          <w:sz w:val="24"/>
          <w:szCs w:val="24"/>
        </w:rPr>
        <w:t>Bącela</w:t>
      </w:r>
      <w:proofErr w:type="spellEnd"/>
      <w:r>
        <w:rPr>
          <w:rFonts w:ascii="Times New Roman" w:hAnsi="Times New Roman"/>
          <w:sz w:val="24"/>
          <w:szCs w:val="24"/>
        </w:rPr>
        <w:t xml:space="preserve">-Spychalska, K. (2014). The profile of a ‘perfect’ invader – the case of killer shrimp, </w:t>
      </w:r>
      <w:proofErr w:type="spellStart"/>
      <w:r>
        <w:rPr>
          <w:rFonts w:ascii="Times New Roman" w:hAnsi="Times New Roman"/>
          <w:i/>
          <w:sz w:val="24"/>
          <w:szCs w:val="24"/>
        </w:rPr>
        <w:t>Dikerogammarus</w:t>
      </w:r>
      <w:proofErr w:type="spellEnd"/>
      <w:r>
        <w:rPr>
          <w:rFonts w:ascii="Times New Roman" w:hAnsi="Times New Roman"/>
          <w:i/>
          <w:sz w:val="24"/>
          <w:szCs w:val="24"/>
        </w:rPr>
        <w:t xml:space="preserve"> villosus</w:t>
      </w:r>
      <w:r>
        <w:rPr>
          <w:rFonts w:ascii="Times New Roman" w:hAnsi="Times New Roman"/>
          <w:sz w:val="24"/>
          <w:szCs w:val="24"/>
        </w:rPr>
        <w:t>. Aquatic Invasions, 9(3), 267–288. https://doi.org/10.3391/ai.2014.9.3.04</w:t>
      </w:r>
    </w:p>
    <w:p w14:paraId="02DED6F6"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Rogers, D. (1972). Random search and insect population models. The Journal of Animal Ecology, 41(2), 369. https://doi.org/10.2307/3474</w:t>
      </w:r>
    </w:p>
    <w:p w14:paraId="02DED6F7"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Root, T. L., Price, J. T., Hall, K. R., Schneider, S. H., Rosenzweig, C., &amp; Pounds, J. A. (2003). Fingerprints of global warming on wild animals and plants. Nature, 421(6918), 57–60. https://doi.org/10.1038/nature01333</w:t>
      </w:r>
    </w:p>
    <w:p w14:paraId="02DED6F8"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Rudolph, K., Coleman, C. O., Mamos, T., &amp; Grabowski, M. (2018). Description and post-glacial demography of Gammarus </w:t>
      </w:r>
      <w:proofErr w:type="spellStart"/>
      <w:r>
        <w:rPr>
          <w:rFonts w:ascii="Times New Roman" w:hAnsi="Times New Roman"/>
          <w:sz w:val="24"/>
          <w:szCs w:val="24"/>
        </w:rPr>
        <w:t>jazdzewskii</w:t>
      </w:r>
      <w:proofErr w:type="spellEnd"/>
      <w:r>
        <w:rPr>
          <w:rFonts w:ascii="Times New Roman" w:hAnsi="Times New Roman"/>
          <w:sz w:val="24"/>
          <w:szCs w:val="24"/>
        </w:rPr>
        <w:t xml:space="preserve"> sp. </w:t>
      </w:r>
      <w:proofErr w:type="spellStart"/>
      <w:r>
        <w:rPr>
          <w:rFonts w:ascii="Times New Roman" w:hAnsi="Times New Roman"/>
          <w:sz w:val="24"/>
          <w:szCs w:val="24"/>
        </w:rPr>
        <w:t>nov.</w:t>
      </w:r>
      <w:proofErr w:type="spellEnd"/>
      <w:r>
        <w:rPr>
          <w:rFonts w:ascii="Times New Roman" w:hAnsi="Times New Roman"/>
          <w:sz w:val="24"/>
          <w:szCs w:val="24"/>
        </w:rPr>
        <w:t xml:space="preserve"> (Crustacea: Amphipoda) from Central Europe. Systematics and Biodiversity, 16(6), 587–603. https://doi.org/10.1080/14772000.2018.1470118</w:t>
      </w:r>
    </w:p>
    <w:p w14:paraId="02DED6F9"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R Core Team (2024). R: A language and environment for statistical computing. R Foundation for Statistical Computing, Vienna, Austria. URL https://www.R-project.org/.</w:t>
      </w:r>
    </w:p>
    <w:p w14:paraId="02DED6FA"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Sandblom, E., </w:t>
      </w:r>
      <w:proofErr w:type="spellStart"/>
      <w:r>
        <w:rPr>
          <w:rFonts w:ascii="Times New Roman" w:hAnsi="Times New Roman"/>
          <w:sz w:val="24"/>
          <w:szCs w:val="24"/>
        </w:rPr>
        <w:t>Gräns</w:t>
      </w:r>
      <w:proofErr w:type="spellEnd"/>
      <w:r>
        <w:rPr>
          <w:rFonts w:ascii="Times New Roman" w:hAnsi="Times New Roman"/>
          <w:sz w:val="24"/>
          <w:szCs w:val="24"/>
        </w:rPr>
        <w:t xml:space="preserve">, A., Axelsson, M., &amp; Seth, H. (2014). Temperature acclimation rate of aerobic scope and feeding metabolism in fishes: implications in a thermally </w:t>
      </w:r>
      <w:r>
        <w:rPr>
          <w:rFonts w:ascii="Times New Roman" w:hAnsi="Times New Roman"/>
          <w:sz w:val="24"/>
          <w:szCs w:val="24"/>
        </w:rPr>
        <w:lastRenderedPageBreak/>
        <w:t>extreme future. Proceedings of the Royal Society B: Biological Sciences, 281(1794), 20141490. https://doi.org/10.1098/rspb.2014.1490</w:t>
      </w:r>
    </w:p>
    <w:p w14:paraId="02DED6FB" w14:textId="77777777" w:rsidR="00B33FFC" w:rsidRDefault="002F6BE4">
      <w:pPr>
        <w:spacing w:after="240" w:line="480" w:lineRule="auto"/>
        <w:ind w:left="283"/>
        <w:rPr>
          <w:rFonts w:ascii="Times New Roman" w:hAnsi="Times New Roman"/>
          <w:sz w:val="24"/>
          <w:szCs w:val="24"/>
        </w:rPr>
      </w:pPr>
      <w:r>
        <w:rPr>
          <w:rFonts w:ascii="Times New Roman" w:hAnsi="Times New Roman"/>
          <w:sz w:val="24"/>
          <w:szCs w:val="24"/>
        </w:rPr>
        <w:t xml:space="preserve">Sayer CA, Fernando E, Jimenez RR, Macfarlane NBW, </w:t>
      </w:r>
      <w:proofErr w:type="spellStart"/>
      <w:r>
        <w:rPr>
          <w:rFonts w:ascii="Times New Roman" w:hAnsi="Times New Roman"/>
          <w:sz w:val="24"/>
          <w:szCs w:val="24"/>
        </w:rPr>
        <w:t>Rapacciuolo</w:t>
      </w:r>
      <w:proofErr w:type="spellEnd"/>
      <w:r>
        <w:rPr>
          <w:rFonts w:ascii="Times New Roman" w:hAnsi="Times New Roman"/>
          <w:sz w:val="24"/>
          <w:szCs w:val="24"/>
        </w:rPr>
        <w:t xml:space="preserve"> G, Böhm M, Brooks TM, Contreras-MacBeath T, Cox NA, Harrison I, Hoffmann M, Jenkins R, Smith KG, </w:t>
      </w:r>
      <w:proofErr w:type="spellStart"/>
      <w:r>
        <w:rPr>
          <w:rFonts w:ascii="Times New Roman" w:hAnsi="Times New Roman"/>
          <w:sz w:val="24"/>
          <w:szCs w:val="24"/>
        </w:rPr>
        <w:t>Vié</w:t>
      </w:r>
      <w:proofErr w:type="spellEnd"/>
      <w:r>
        <w:rPr>
          <w:rFonts w:ascii="Times New Roman" w:hAnsi="Times New Roman"/>
          <w:sz w:val="24"/>
          <w:szCs w:val="24"/>
        </w:rPr>
        <w:t xml:space="preserve"> J-C, Abbott JC, Allen DJ, Allen GR, Barrios V, </w:t>
      </w:r>
      <w:proofErr w:type="spellStart"/>
      <w:r>
        <w:rPr>
          <w:rFonts w:ascii="Times New Roman" w:hAnsi="Times New Roman"/>
          <w:sz w:val="24"/>
          <w:szCs w:val="24"/>
        </w:rPr>
        <w:t>Boudot</w:t>
      </w:r>
      <w:proofErr w:type="spellEnd"/>
      <w:r>
        <w:rPr>
          <w:rFonts w:ascii="Times New Roman" w:hAnsi="Times New Roman"/>
          <w:sz w:val="24"/>
          <w:szCs w:val="24"/>
        </w:rPr>
        <w:t xml:space="preserve"> J-P, Carrizo SF, Charvet P, Clausnitzer V, </w:t>
      </w:r>
      <w:proofErr w:type="spellStart"/>
      <w:r>
        <w:rPr>
          <w:rFonts w:ascii="Times New Roman" w:hAnsi="Times New Roman"/>
          <w:sz w:val="24"/>
          <w:szCs w:val="24"/>
        </w:rPr>
        <w:t>Congiu</w:t>
      </w:r>
      <w:proofErr w:type="spellEnd"/>
      <w:r>
        <w:rPr>
          <w:rFonts w:ascii="Times New Roman" w:hAnsi="Times New Roman"/>
          <w:sz w:val="24"/>
          <w:szCs w:val="24"/>
        </w:rPr>
        <w:t xml:space="preserve"> L, Crandall KA, </w:t>
      </w:r>
      <w:proofErr w:type="spellStart"/>
      <w:r>
        <w:rPr>
          <w:rFonts w:ascii="Times New Roman" w:hAnsi="Times New Roman"/>
          <w:sz w:val="24"/>
          <w:szCs w:val="24"/>
        </w:rPr>
        <w:t>Cumberlidge</w:t>
      </w:r>
      <w:proofErr w:type="spellEnd"/>
      <w:r>
        <w:rPr>
          <w:rFonts w:ascii="Times New Roman" w:hAnsi="Times New Roman"/>
          <w:sz w:val="24"/>
          <w:szCs w:val="24"/>
        </w:rPr>
        <w:t xml:space="preserve"> N, </w:t>
      </w:r>
      <w:proofErr w:type="spellStart"/>
      <w:r>
        <w:rPr>
          <w:rFonts w:ascii="Times New Roman" w:hAnsi="Times New Roman"/>
          <w:sz w:val="24"/>
          <w:szCs w:val="24"/>
        </w:rPr>
        <w:t>Cuttelod</w:t>
      </w:r>
      <w:proofErr w:type="spellEnd"/>
      <w:r>
        <w:rPr>
          <w:rFonts w:ascii="Times New Roman" w:hAnsi="Times New Roman"/>
          <w:sz w:val="24"/>
          <w:szCs w:val="24"/>
        </w:rPr>
        <w:t xml:space="preserve"> A, Dalton J, Daniels AG, De Grave S, De </w:t>
      </w:r>
      <w:proofErr w:type="spellStart"/>
      <w:r>
        <w:rPr>
          <w:rFonts w:ascii="Times New Roman" w:hAnsi="Times New Roman"/>
          <w:sz w:val="24"/>
          <w:szCs w:val="24"/>
        </w:rPr>
        <w:t>Knijf</w:t>
      </w:r>
      <w:proofErr w:type="spellEnd"/>
      <w:r>
        <w:rPr>
          <w:rFonts w:ascii="Times New Roman" w:hAnsi="Times New Roman"/>
          <w:sz w:val="24"/>
          <w:szCs w:val="24"/>
        </w:rPr>
        <w:t xml:space="preserve"> G, Dijkstra K-DB, Dow RA, </w:t>
      </w:r>
      <w:proofErr w:type="spellStart"/>
      <w:r>
        <w:rPr>
          <w:rFonts w:ascii="Times New Roman" w:hAnsi="Times New Roman"/>
          <w:sz w:val="24"/>
          <w:szCs w:val="24"/>
        </w:rPr>
        <w:t>Freyhof</w:t>
      </w:r>
      <w:proofErr w:type="spellEnd"/>
      <w:r>
        <w:rPr>
          <w:rFonts w:ascii="Times New Roman" w:hAnsi="Times New Roman"/>
          <w:sz w:val="24"/>
          <w:szCs w:val="24"/>
        </w:rPr>
        <w:t xml:space="preserve"> J, García N, Gessner J, Getahun A, Gibson C, </w:t>
      </w:r>
      <w:proofErr w:type="spellStart"/>
      <w:r>
        <w:rPr>
          <w:rFonts w:ascii="Times New Roman" w:hAnsi="Times New Roman"/>
          <w:sz w:val="24"/>
          <w:szCs w:val="24"/>
        </w:rPr>
        <w:t>Gollock</w:t>
      </w:r>
      <w:proofErr w:type="spellEnd"/>
      <w:r>
        <w:rPr>
          <w:rFonts w:ascii="Times New Roman" w:hAnsi="Times New Roman"/>
          <w:sz w:val="24"/>
          <w:szCs w:val="24"/>
        </w:rPr>
        <w:t xml:space="preserve"> MJ, Grant MI, Groom AER, Hammer MP, Hammerson GA, Hilton-Taylor C, Hodgkinson L, Holland RA, Jabado RW, Juffe </w:t>
      </w:r>
      <w:proofErr w:type="spellStart"/>
      <w:r>
        <w:rPr>
          <w:rFonts w:ascii="Times New Roman" w:hAnsi="Times New Roman"/>
          <w:sz w:val="24"/>
          <w:szCs w:val="24"/>
        </w:rPr>
        <w:t>Bignoli</w:t>
      </w:r>
      <w:proofErr w:type="spellEnd"/>
      <w:r>
        <w:rPr>
          <w:rFonts w:ascii="Times New Roman" w:hAnsi="Times New Roman"/>
          <w:sz w:val="24"/>
          <w:szCs w:val="24"/>
        </w:rPr>
        <w:t xml:space="preserve"> D, Kalkman VJ, Karimov BK, Kipping J, </w:t>
      </w:r>
      <w:proofErr w:type="spellStart"/>
      <w:r>
        <w:rPr>
          <w:rFonts w:ascii="Times New Roman" w:hAnsi="Times New Roman"/>
          <w:sz w:val="24"/>
          <w:szCs w:val="24"/>
        </w:rPr>
        <w:t>Kottelat</w:t>
      </w:r>
      <w:proofErr w:type="spellEnd"/>
      <w:r>
        <w:rPr>
          <w:rFonts w:ascii="Times New Roman" w:hAnsi="Times New Roman"/>
          <w:sz w:val="24"/>
          <w:szCs w:val="24"/>
        </w:rPr>
        <w:t xml:space="preserve"> M, </w:t>
      </w:r>
      <w:proofErr w:type="spellStart"/>
      <w:r>
        <w:rPr>
          <w:rFonts w:ascii="Times New Roman" w:hAnsi="Times New Roman"/>
          <w:sz w:val="24"/>
          <w:szCs w:val="24"/>
        </w:rPr>
        <w:t>Lalèyè</w:t>
      </w:r>
      <w:proofErr w:type="spellEnd"/>
      <w:r>
        <w:rPr>
          <w:rFonts w:ascii="Times New Roman" w:hAnsi="Times New Roman"/>
          <w:sz w:val="24"/>
          <w:szCs w:val="24"/>
        </w:rPr>
        <w:t xml:space="preserve"> PA, Larson HK, </w:t>
      </w:r>
      <w:proofErr w:type="spellStart"/>
      <w:r>
        <w:rPr>
          <w:rFonts w:ascii="Times New Roman" w:hAnsi="Times New Roman"/>
          <w:sz w:val="24"/>
          <w:szCs w:val="24"/>
        </w:rPr>
        <w:t>Lintermans</w:t>
      </w:r>
      <w:proofErr w:type="spellEnd"/>
      <w:r>
        <w:rPr>
          <w:rFonts w:ascii="Times New Roman" w:hAnsi="Times New Roman"/>
          <w:sz w:val="24"/>
          <w:szCs w:val="24"/>
        </w:rPr>
        <w:t xml:space="preserve"> M, Lozano F, Ludwig A, Lyons TJ, </w:t>
      </w:r>
      <w:proofErr w:type="spellStart"/>
      <w:r>
        <w:rPr>
          <w:rFonts w:ascii="Times New Roman" w:hAnsi="Times New Roman"/>
          <w:sz w:val="24"/>
          <w:szCs w:val="24"/>
        </w:rPr>
        <w:t>Máiz</w:t>
      </w:r>
      <w:proofErr w:type="spellEnd"/>
      <w:r>
        <w:rPr>
          <w:rFonts w:ascii="Times New Roman" w:hAnsi="Times New Roman"/>
          <w:sz w:val="24"/>
          <w:szCs w:val="24"/>
        </w:rPr>
        <w:t xml:space="preserve">-Tomé L, </w:t>
      </w:r>
      <w:proofErr w:type="spellStart"/>
      <w:r>
        <w:rPr>
          <w:rFonts w:ascii="Times New Roman" w:hAnsi="Times New Roman"/>
          <w:sz w:val="24"/>
          <w:szCs w:val="24"/>
        </w:rPr>
        <w:t>Molur</w:t>
      </w:r>
      <w:proofErr w:type="spellEnd"/>
      <w:r>
        <w:rPr>
          <w:rFonts w:ascii="Times New Roman" w:hAnsi="Times New Roman"/>
          <w:sz w:val="24"/>
          <w:szCs w:val="24"/>
        </w:rPr>
        <w:t xml:space="preserve"> S, Ng HH, Numa C, Palmer-Newton AF, Pike C, Pippard HE, </w:t>
      </w:r>
      <w:proofErr w:type="spellStart"/>
      <w:r>
        <w:rPr>
          <w:rFonts w:ascii="Times New Roman" w:hAnsi="Times New Roman"/>
          <w:sz w:val="24"/>
          <w:szCs w:val="24"/>
        </w:rPr>
        <w:t>Polaz</w:t>
      </w:r>
      <w:proofErr w:type="spellEnd"/>
      <w:r>
        <w:rPr>
          <w:rFonts w:ascii="Times New Roman" w:hAnsi="Times New Roman"/>
          <w:sz w:val="24"/>
          <w:szCs w:val="24"/>
        </w:rPr>
        <w:t xml:space="preserve"> CNM, Pollock CM, Raghavan R, Rand PS, </w:t>
      </w:r>
      <w:proofErr w:type="spellStart"/>
      <w:r>
        <w:rPr>
          <w:rFonts w:ascii="Times New Roman" w:hAnsi="Times New Roman"/>
          <w:sz w:val="24"/>
          <w:szCs w:val="24"/>
        </w:rPr>
        <w:t>Ravelomanana</w:t>
      </w:r>
      <w:proofErr w:type="spellEnd"/>
      <w:r>
        <w:rPr>
          <w:rFonts w:ascii="Times New Roman" w:hAnsi="Times New Roman"/>
          <w:sz w:val="24"/>
          <w:szCs w:val="24"/>
        </w:rPr>
        <w:t xml:space="preserve"> T, Reis RE, Rigby CL, Scott JA, Skelton PH, Sloat MR, </w:t>
      </w:r>
      <w:proofErr w:type="spellStart"/>
      <w:r>
        <w:rPr>
          <w:rFonts w:ascii="Times New Roman" w:hAnsi="Times New Roman"/>
          <w:sz w:val="24"/>
          <w:szCs w:val="24"/>
        </w:rPr>
        <w:t>Snoeks</w:t>
      </w:r>
      <w:proofErr w:type="spellEnd"/>
      <w:r>
        <w:rPr>
          <w:rFonts w:ascii="Times New Roman" w:hAnsi="Times New Roman"/>
          <w:sz w:val="24"/>
          <w:szCs w:val="24"/>
        </w:rPr>
        <w:t xml:space="preserve"> J, Stiassny MLJ, Tan HH, Taniguchi Y, Thorstad EB, </w:t>
      </w:r>
      <w:proofErr w:type="spellStart"/>
      <w:r>
        <w:rPr>
          <w:rFonts w:ascii="Times New Roman" w:hAnsi="Times New Roman"/>
          <w:sz w:val="24"/>
          <w:szCs w:val="24"/>
        </w:rPr>
        <w:t>Tognelli</w:t>
      </w:r>
      <w:proofErr w:type="spellEnd"/>
      <w:r>
        <w:rPr>
          <w:rFonts w:ascii="Times New Roman" w:hAnsi="Times New Roman"/>
          <w:sz w:val="24"/>
          <w:szCs w:val="24"/>
        </w:rPr>
        <w:t xml:space="preserve"> MF, Torres AG, Torres Y, Tweddle D, Watanabe K, </w:t>
      </w:r>
      <w:proofErr w:type="spellStart"/>
      <w:r>
        <w:rPr>
          <w:rFonts w:ascii="Times New Roman" w:hAnsi="Times New Roman"/>
          <w:sz w:val="24"/>
          <w:szCs w:val="24"/>
        </w:rPr>
        <w:t>Westrip</w:t>
      </w:r>
      <w:proofErr w:type="spellEnd"/>
      <w:r>
        <w:rPr>
          <w:rFonts w:ascii="Times New Roman" w:hAnsi="Times New Roman"/>
          <w:sz w:val="24"/>
          <w:szCs w:val="24"/>
        </w:rPr>
        <w:t xml:space="preserve"> JRS, Wright EGE, Zhang E, </w:t>
      </w:r>
      <w:proofErr w:type="spellStart"/>
      <w:r>
        <w:rPr>
          <w:rFonts w:ascii="Times New Roman" w:hAnsi="Times New Roman"/>
          <w:sz w:val="24"/>
          <w:szCs w:val="24"/>
        </w:rPr>
        <w:t>Darwall</w:t>
      </w:r>
      <w:proofErr w:type="spellEnd"/>
      <w:r>
        <w:rPr>
          <w:rFonts w:ascii="Times New Roman" w:hAnsi="Times New Roman"/>
          <w:sz w:val="24"/>
          <w:szCs w:val="24"/>
        </w:rPr>
        <w:t xml:space="preserve"> WRT (2025) One-quarter of freshwater fauna threatened with extinction. Nature 638: 138–145. https://doi.org/10.1038/s41586-024-08375-z</w:t>
      </w:r>
    </w:p>
    <w:p w14:paraId="02DED6FC"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Sentis</w:t>
      </w:r>
      <w:proofErr w:type="spellEnd"/>
      <w:r>
        <w:rPr>
          <w:rFonts w:ascii="Times New Roman" w:hAnsi="Times New Roman"/>
          <w:sz w:val="24"/>
          <w:szCs w:val="24"/>
        </w:rPr>
        <w:t>, A., Bazin, S., Boukal, D. S., &amp; Stoks, R. (2024). Ecological consequences of body size reduction under warming. Proceedings of the Royal Society B: Biological Sciences, 291(2029). https://doi.org/10.1098/rspb.2024.1250</w:t>
      </w:r>
    </w:p>
    <w:p w14:paraId="02DED6FD"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Shepard, E. L. C., Wilson, R. P., Rees, W. G., Grundy, E., </w:t>
      </w:r>
      <w:proofErr w:type="spellStart"/>
      <w:r>
        <w:rPr>
          <w:rFonts w:ascii="Times New Roman" w:hAnsi="Times New Roman"/>
          <w:sz w:val="24"/>
          <w:szCs w:val="24"/>
        </w:rPr>
        <w:t>Lambertucci</w:t>
      </w:r>
      <w:proofErr w:type="spellEnd"/>
      <w:r>
        <w:rPr>
          <w:rFonts w:ascii="Times New Roman" w:hAnsi="Times New Roman"/>
          <w:sz w:val="24"/>
          <w:szCs w:val="24"/>
        </w:rPr>
        <w:t>, S. A., &amp; Vosper, S. B. (2013). Energy landscapes shape animal movement ecology. The American Naturalist, 182(3), 298–312. https://doi.org/10.1086/671257</w:t>
      </w:r>
    </w:p>
    <w:p w14:paraId="02DED6FE"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 xml:space="preserve">Sih, A., Bolnick, D. I., </w:t>
      </w:r>
      <w:proofErr w:type="spellStart"/>
      <w:r>
        <w:rPr>
          <w:rFonts w:ascii="Times New Roman" w:hAnsi="Times New Roman"/>
          <w:sz w:val="24"/>
          <w:szCs w:val="24"/>
        </w:rPr>
        <w:t>Luttbeg</w:t>
      </w:r>
      <w:proofErr w:type="spellEnd"/>
      <w:r>
        <w:rPr>
          <w:rFonts w:ascii="Times New Roman" w:hAnsi="Times New Roman"/>
          <w:sz w:val="24"/>
          <w:szCs w:val="24"/>
        </w:rPr>
        <w:t xml:space="preserve">, B., Orrock, J. L., </w:t>
      </w:r>
      <w:proofErr w:type="spellStart"/>
      <w:r>
        <w:rPr>
          <w:rFonts w:ascii="Times New Roman" w:hAnsi="Times New Roman"/>
          <w:sz w:val="24"/>
          <w:szCs w:val="24"/>
        </w:rPr>
        <w:t>Peacor</w:t>
      </w:r>
      <w:proofErr w:type="spellEnd"/>
      <w:r>
        <w:rPr>
          <w:rFonts w:ascii="Times New Roman" w:hAnsi="Times New Roman"/>
          <w:sz w:val="24"/>
          <w:szCs w:val="24"/>
        </w:rPr>
        <w:t xml:space="preserve">, S. D., Pintor, L. M., Preisser, E., Rehage, J. S., &amp; Vonesh, J. R. (2010). Predator-prey naïveté, antipredator </w:t>
      </w:r>
      <w:proofErr w:type="spellStart"/>
      <w:r>
        <w:rPr>
          <w:rFonts w:ascii="Times New Roman" w:hAnsi="Times New Roman"/>
          <w:sz w:val="24"/>
          <w:szCs w:val="24"/>
        </w:rPr>
        <w:t>behavior</w:t>
      </w:r>
      <w:proofErr w:type="spellEnd"/>
      <w:r>
        <w:rPr>
          <w:rFonts w:ascii="Times New Roman" w:hAnsi="Times New Roman"/>
          <w:sz w:val="24"/>
          <w:szCs w:val="24"/>
        </w:rPr>
        <w:t>, and the ecology of predator invasions. Oikos, 119(4), 610–621. https://doi.org/10.1111/j.1600-0706.2009.18039.x</w:t>
      </w:r>
    </w:p>
    <w:p w14:paraId="02DED6FF"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Sinclair, B. J., Marshall, K. E., Sewell, M. A., Levesque, D. L., Willett, C. S., Slotsbo, S., Dong, Y., Harley, C. D. G., Marshall, D. J., Helmuth, B. S., &amp; Huey, R. B. (2016). Can we predict ectotherm responses to climate change using thermal performance curves and body temperatures? Ecology Letters, 19(11), 1372–1385. https://doi.org/10.1111/ele.12686</w:t>
      </w:r>
    </w:p>
    <w:p w14:paraId="02DED700"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Smyly, W. J. P. (1957). The life-­history of the bullhead or miller's thumb (</w:t>
      </w:r>
      <w:r>
        <w:rPr>
          <w:rFonts w:ascii="Times New Roman" w:hAnsi="Times New Roman"/>
          <w:i/>
          <w:sz w:val="24"/>
          <w:szCs w:val="24"/>
        </w:rPr>
        <w:t>Cottus gobio</w:t>
      </w:r>
      <w:r>
        <w:rPr>
          <w:rFonts w:ascii="Times New Roman" w:hAnsi="Times New Roman"/>
          <w:sz w:val="24"/>
          <w:szCs w:val="24"/>
        </w:rPr>
        <w:t xml:space="preserve"> L.). Proceedings of the Zoological Society of London, 128, 431–453.</w:t>
      </w:r>
    </w:p>
    <w:p w14:paraId="02DED701"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Somero, G. N. (2012). The physiology of global change: linking patterns to mechanisms. Annual Review of Marine Science, 4(1), 39–61. https://doi.org/10.1146/annurev-marine-120710-100935</w:t>
      </w:r>
    </w:p>
    <w:p w14:paraId="02DED702"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Soto, I., Cuthbert, R. N., Ricciardi, A., Ahmed, D. A., Altermatt, F., Schäfer, R. B., </w:t>
      </w:r>
      <w:proofErr w:type="spellStart"/>
      <w:r>
        <w:rPr>
          <w:rFonts w:ascii="Times New Roman" w:hAnsi="Times New Roman"/>
          <w:sz w:val="24"/>
          <w:szCs w:val="24"/>
        </w:rPr>
        <w:t>Archambaud</w:t>
      </w:r>
      <w:proofErr w:type="spellEnd"/>
      <w:r>
        <w:rPr>
          <w:rFonts w:ascii="Times New Roman" w:hAnsi="Times New Roman"/>
          <w:sz w:val="24"/>
          <w:szCs w:val="24"/>
        </w:rPr>
        <w:t xml:space="preserve">-Suard, G., </w:t>
      </w:r>
      <w:proofErr w:type="spellStart"/>
      <w:r>
        <w:rPr>
          <w:rFonts w:ascii="Times New Roman" w:hAnsi="Times New Roman"/>
          <w:sz w:val="24"/>
          <w:szCs w:val="24"/>
        </w:rPr>
        <w:t>Bonada</w:t>
      </w:r>
      <w:proofErr w:type="spellEnd"/>
      <w:r>
        <w:rPr>
          <w:rFonts w:ascii="Times New Roman" w:hAnsi="Times New Roman"/>
          <w:sz w:val="24"/>
          <w:szCs w:val="24"/>
        </w:rPr>
        <w:t xml:space="preserve">, N., </w:t>
      </w:r>
      <w:proofErr w:type="spellStart"/>
      <w:r>
        <w:rPr>
          <w:rFonts w:ascii="Times New Roman" w:hAnsi="Times New Roman"/>
          <w:sz w:val="24"/>
          <w:szCs w:val="24"/>
        </w:rPr>
        <w:t>Cañedo</w:t>
      </w:r>
      <w:proofErr w:type="spellEnd"/>
      <w:r>
        <w:rPr>
          <w:rFonts w:ascii="Times New Roman" w:hAnsi="Times New Roman"/>
          <w:sz w:val="24"/>
          <w:szCs w:val="24"/>
        </w:rPr>
        <w:t xml:space="preserve">-Argüelles, M., Csabai, Z., </w:t>
      </w:r>
      <w:proofErr w:type="spellStart"/>
      <w:r>
        <w:rPr>
          <w:rFonts w:ascii="Times New Roman" w:hAnsi="Times New Roman"/>
          <w:sz w:val="24"/>
          <w:szCs w:val="24"/>
        </w:rPr>
        <w:t>Datry</w:t>
      </w:r>
      <w:proofErr w:type="spellEnd"/>
      <w:r>
        <w:rPr>
          <w:rFonts w:ascii="Times New Roman" w:hAnsi="Times New Roman"/>
          <w:sz w:val="24"/>
          <w:szCs w:val="24"/>
        </w:rPr>
        <w:t xml:space="preserve">, T., Dick, J. T. A., Floury, M., </w:t>
      </w:r>
      <w:proofErr w:type="spellStart"/>
      <w:r>
        <w:rPr>
          <w:rFonts w:ascii="Times New Roman" w:hAnsi="Times New Roman"/>
          <w:sz w:val="24"/>
          <w:szCs w:val="24"/>
        </w:rPr>
        <w:t>Forio</w:t>
      </w:r>
      <w:proofErr w:type="spellEnd"/>
      <w:r>
        <w:rPr>
          <w:rFonts w:ascii="Times New Roman" w:hAnsi="Times New Roman"/>
          <w:sz w:val="24"/>
          <w:szCs w:val="24"/>
        </w:rPr>
        <w:t xml:space="preserve">, M. A. E., </w:t>
      </w:r>
      <w:proofErr w:type="spellStart"/>
      <w:r>
        <w:rPr>
          <w:rFonts w:ascii="Times New Roman" w:hAnsi="Times New Roman"/>
          <w:sz w:val="24"/>
          <w:szCs w:val="24"/>
        </w:rPr>
        <w:t>Forcellini</w:t>
      </w:r>
      <w:proofErr w:type="spellEnd"/>
      <w:r>
        <w:rPr>
          <w:rFonts w:ascii="Times New Roman" w:hAnsi="Times New Roman"/>
          <w:sz w:val="24"/>
          <w:szCs w:val="24"/>
        </w:rPr>
        <w:t xml:space="preserve">, M., </w:t>
      </w:r>
      <w:proofErr w:type="spellStart"/>
      <w:r>
        <w:rPr>
          <w:rFonts w:ascii="Times New Roman" w:hAnsi="Times New Roman"/>
          <w:sz w:val="24"/>
          <w:szCs w:val="24"/>
        </w:rPr>
        <w:t>Fruget</w:t>
      </w:r>
      <w:proofErr w:type="spellEnd"/>
      <w:r>
        <w:rPr>
          <w:rFonts w:ascii="Times New Roman" w:hAnsi="Times New Roman"/>
          <w:sz w:val="24"/>
          <w:szCs w:val="24"/>
        </w:rPr>
        <w:t>, J.-F., Goethals, P., Haase, P., Hudgins, E. J., … Briski, E. (2023). The faunal Ponto-</w:t>
      </w:r>
      <w:proofErr w:type="spellStart"/>
      <w:r>
        <w:rPr>
          <w:rFonts w:ascii="Times New Roman" w:hAnsi="Times New Roman"/>
          <w:sz w:val="24"/>
          <w:szCs w:val="24"/>
        </w:rPr>
        <w:t>Caspianization</w:t>
      </w:r>
      <w:proofErr w:type="spellEnd"/>
      <w:r>
        <w:rPr>
          <w:rFonts w:ascii="Times New Roman" w:hAnsi="Times New Roman"/>
          <w:sz w:val="24"/>
          <w:szCs w:val="24"/>
        </w:rPr>
        <w:t xml:space="preserve"> of central and western European waterways. Biological Invasions, 25(8), 2613–2629. https://doi.org/10.1007/s10530-023-03060-0</w:t>
      </w:r>
    </w:p>
    <w:p w14:paraId="02DED703"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Teletchea</w:t>
      </w:r>
      <w:proofErr w:type="spellEnd"/>
      <w:r>
        <w:rPr>
          <w:rFonts w:ascii="Times New Roman" w:hAnsi="Times New Roman"/>
          <w:sz w:val="24"/>
          <w:szCs w:val="24"/>
        </w:rPr>
        <w:t>, F., &amp; Beisel, J.-N. (2018). Alien fish species in France with emphasis on the recent invasion of gobies. In R. Sajal (Ed.), Biological Resources of Water (Issue April, pp. 75–92). https://doi.org/10.5772/intechopen.73408</w:t>
      </w:r>
    </w:p>
    <w:p w14:paraId="02DED704"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lastRenderedPageBreak/>
        <w:t>Tomlinson, M. L., &amp; Perrow, M. R. (2003). Ecology of the Bullhead. In Conserving Natura 2000 Rivers (Vol. 4).</w:t>
      </w:r>
    </w:p>
    <w:p w14:paraId="02DED705" w14:textId="77777777" w:rsidR="00B33FFC" w:rsidRDefault="002F6BE4">
      <w:pPr>
        <w:spacing w:line="480" w:lineRule="auto"/>
        <w:ind w:left="360"/>
        <w:rPr>
          <w:rFonts w:ascii="Times New Roman" w:hAnsi="Times New Roman"/>
          <w:sz w:val="24"/>
          <w:szCs w:val="24"/>
        </w:rPr>
      </w:pPr>
      <w:proofErr w:type="spellStart"/>
      <w:r>
        <w:rPr>
          <w:rFonts w:ascii="Times New Roman" w:hAnsi="Times New Roman"/>
          <w:sz w:val="24"/>
          <w:szCs w:val="24"/>
        </w:rPr>
        <w:t>Uiterwaal</w:t>
      </w:r>
      <w:proofErr w:type="spellEnd"/>
      <w:r>
        <w:rPr>
          <w:rFonts w:ascii="Times New Roman" w:hAnsi="Times New Roman"/>
          <w:sz w:val="24"/>
          <w:szCs w:val="24"/>
        </w:rPr>
        <w:t>, S. F., &amp; DeLong, J. P. (2020). Functional responses are maximized at intermediate temperatures. Ecology, 101(4), e02975. https://doi.org/10.1002/ecy.2975</w:t>
      </w:r>
    </w:p>
    <w:p w14:paraId="02DED706"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Volkoff, H., &amp; Rønnestad, I. (2020). Effects of temperature on feeding and digestive processes in fish. Temperature, 7(4), 307–320. https://doi.org/10.1080/23328940.2020.1765950</w:t>
      </w:r>
    </w:p>
    <w:p w14:paraId="02DED707"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Vucic-</w:t>
      </w:r>
      <w:proofErr w:type="spellStart"/>
      <w:r>
        <w:rPr>
          <w:rFonts w:ascii="Times New Roman" w:hAnsi="Times New Roman"/>
          <w:sz w:val="24"/>
          <w:szCs w:val="24"/>
        </w:rPr>
        <w:t>Pestic</w:t>
      </w:r>
      <w:proofErr w:type="spellEnd"/>
      <w:r>
        <w:rPr>
          <w:rFonts w:ascii="Times New Roman" w:hAnsi="Times New Roman"/>
          <w:sz w:val="24"/>
          <w:szCs w:val="24"/>
        </w:rPr>
        <w:t xml:space="preserve">, O., Rall, B. C., </w:t>
      </w:r>
      <w:proofErr w:type="spellStart"/>
      <w:r>
        <w:rPr>
          <w:rFonts w:ascii="Times New Roman" w:hAnsi="Times New Roman"/>
          <w:sz w:val="24"/>
          <w:szCs w:val="24"/>
        </w:rPr>
        <w:t>Kalinkat</w:t>
      </w:r>
      <w:proofErr w:type="spellEnd"/>
      <w:r>
        <w:rPr>
          <w:rFonts w:ascii="Times New Roman" w:hAnsi="Times New Roman"/>
          <w:sz w:val="24"/>
          <w:szCs w:val="24"/>
        </w:rPr>
        <w:t>, G., &amp; Brose, U. (2010). Allometric functional response model: body masses constrain interaction strengths. Journal of Animal Ecology, 79(1), 249–256. https://doi.org/10.1111/j.1365-2656.2009.01622.x</w:t>
      </w:r>
    </w:p>
    <w:p w14:paraId="02DED708" w14:textId="77777777" w:rsidR="00B33FFC" w:rsidRDefault="002F6BE4">
      <w:pPr>
        <w:spacing w:line="480" w:lineRule="auto"/>
        <w:ind w:left="360"/>
        <w:rPr>
          <w:rFonts w:ascii="Times New Roman" w:hAnsi="Times New Roman"/>
          <w:sz w:val="24"/>
          <w:szCs w:val="24"/>
        </w:rPr>
      </w:pPr>
      <w:r>
        <w:rPr>
          <w:rFonts w:ascii="Times New Roman" w:hAnsi="Times New Roman"/>
          <w:sz w:val="24"/>
          <w:szCs w:val="24"/>
        </w:rPr>
        <w:t xml:space="preserve">Walther, G. R., Roques, A., Hulme, P. E., Sykes, M. T., </w:t>
      </w:r>
      <w:proofErr w:type="spellStart"/>
      <w:r>
        <w:rPr>
          <w:rFonts w:ascii="Times New Roman" w:hAnsi="Times New Roman"/>
          <w:sz w:val="24"/>
          <w:szCs w:val="24"/>
        </w:rPr>
        <w:t>Pyšek</w:t>
      </w:r>
      <w:proofErr w:type="spellEnd"/>
      <w:r>
        <w:rPr>
          <w:rFonts w:ascii="Times New Roman" w:hAnsi="Times New Roman"/>
          <w:sz w:val="24"/>
          <w:szCs w:val="24"/>
        </w:rPr>
        <w:t>, P., Kühn, I., Zobel, M., Bacher, S., Botta-</w:t>
      </w:r>
      <w:proofErr w:type="spellStart"/>
      <w:r>
        <w:rPr>
          <w:rFonts w:ascii="Times New Roman" w:hAnsi="Times New Roman"/>
          <w:sz w:val="24"/>
          <w:szCs w:val="24"/>
        </w:rPr>
        <w:t>Dukát</w:t>
      </w:r>
      <w:proofErr w:type="spellEnd"/>
      <w:r>
        <w:rPr>
          <w:rFonts w:ascii="Times New Roman" w:hAnsi="Times New Roman"/>
          <w:sz w:val="24"/>
          <w:szCs w:val="24"/>
        </w:rPr>
        <w:t xml:space="preserve">, Z., </w:t>
      </w:r>
      <w:proofErr w:type="spellStart"/>
      <w:r>
        <w:rPr>
          <w:rFonts w:ascii="Times New Roman" w:hAnsi="Times New Roman"/>
          <w:sz w:val="24"/>
          <w:szCs w:val="24"/>
        </w:rPr>
        <w:t>Bugmann</w:t>
      </w:r>
      <w:proofErr w:type="spellEnd"/>
      <w:r>
        <w:rPr>
          <w:rFonts w:ascii="Times New Roman" w:hAnsi="Times New Roman"/>
          <w:sz w:val="24"/>
          <w:szCs w:val="24"/>
        </w:rPr>
        <w:t xml:space="preserve">, H., </w:t>
      </w:r>
      <w:proofErr w:type="spellStart"/>
      <w:r>
        <w:rPr>
          <w:rFonts w:ascii="Times New Roman" w:hAnsi="Times New Roman"/>
          <w:sz w:val="24"/>
          <w:szCs w:val="24"/>
        </w:rPr>
        <w:t>Czúcz</w:t>
      </w:r>
      <w:proofErr w:type="spellEnd"/>
      <w:r>
        <w:rPr>
          <w:rFonts w:ascii="Times New Roman" w:hAnsi="Times New Roman"/>
          <w:sz w:val="24"/>
          <w:szCs w:val="24"/>
        </w:rPr>
        <w:t xml:space="preserve">, B., Dauber, J., </w:t>
      </w:r>
      <w:proofErr w:type="spellStart"/>
      <w:r>
        <w:rPr>
          <w:rFonts w:ascii="Times New Roman" w:hAnsi="Times New Roman"/>
          <w:sz w:val="24"/>
          <w:szCs w:val="24"/>
        </w:rPr>
        <w:t>Hickler</w:t>
      </w:r>
      <w:proofErr w:type="spellEnd"/>
      <w:r>
        <w:rPr>
          <w:rFonts w:ascii="Times New Roman" w:hAnsi="Times New Roman"/>
          <w:sz w:val="24"/>
          <w:szCs w:val="24"/>
        </w:rPr>
        <w:t xml:space="preserve">, T., </w:t>
      </w:r>
      <w:proofErr w:type="spellStart"/>
      <w:r>
        <w:rPr>
          <w:rFonts w:ascii="Times New Roman" w:hAnsi="Times New Roman"/>
          <w:sz w:val="24"/>
          <w:szCs w:val="24"/>
        </w:rPr>
        <w:t>Jarošík</w:t>
      </w:r>
      <w:proofErr w:type="spellEnd"/>
      <w:r>
        <w:rPr>
          <w:rFonts w:ascii="Times New Roman" w:hAnsi="Times New Roman"/>
          <w:sz w:val="24"/>
          <w:szCs w:val="24"/>
        </w:rPr>
        <w:t xml:space="preserve">, V., Kenis, M., Klotz, S., Minchin, D., </w:t>
      </w:r>
      <w:proofErr w:type="spellStart"/>
      <w:r>
        <w:rPr>
          <w:rFonts w:ascii="Times New Roman" w:hAnsi="Times New Roman"/>
          <w:sz w:val="24"/>
          <w:szCs w:val="24"/>
        </w:rPr>
        <w:t>Moora</w:t>
      </w:r>
      <w:proofErr w:type="spellEnd"/>
      <w:r>
        <w:rPr>
          <w:rFonts w:ascii="Times New Roman" w:hAnsi="Times New Roman"/>
          <w:sz w:val="24"/>
          <w:szCs w:val="24"/>
        </w:rPr>
        <w:t xml:space="preserve">, M., Nentwig, W., … </w:t>
      </w:r>
      <w:proofErr w:type="spellStart"/>
      <w:r>
        <w:rPr>
          <w:rFonts w:ascii="Times New Roman" w:hAnsi="Times New Roman"/>
          <w:sz w:val="24"/>
          <w:szCs w:val="24"/>
        </w:rPr>
        <w:t>Settele</w:t>
      </w:r>
      <w:proofErr w:type="spellEnd"/>
      <w:r>
        <w:rPr>
          <w:rFonts w:ascii="Times New Roman" w:hAnsi="Times New Roman"/>
          <w:sz w:val="24"/>
          <w:szCs w:val="24"/>
        </w:rPr>
        <w:t>, J. (2009). Alien species in a warmer world: risks and opportunities. In Trends in Ecology and Evolution (Vol. 24, Issue 12, pp. 686–693). https://doi.org/10.1016/j.tree.2009.06.008</w:t>
      </w:r>
    </w:p>
    <w:p w14:paraId="02DED70A" w14:textId="2782B076" w:rsidR="00B33FFC" w:rsidRPr="00DE51C0" w:rsidRDefault="002F6BE4" w:rsidP="00DE51C0">
      <w:pPr>
        <w:spacing w:line="480" w:lineRule="auto"/>
        <w:ind w:left="360"/>
        <w:rPr>
          <w:rFonts w:ascii="Times New Roman" w:hAnsi="Times New Roman"/>
          <w:sz w:val="24"/>
          <w:szCs w:val="24"/>
        </w:rPr>
      </w:pPr>
      <w:r>
        <w:rPr>
          <w:rFonts w:ascii="Times New Roman" w:hAnsi="Times New Roman"/>
          <w:sz w:val="24"/>
          <w:szCs w:val="24"/>
        </w:rPr>
        <w:t xml:space="preserve">Yu, X. L., Zhang, Y. J., Zuo, J. F., Luo, X., Zhang, L., </w:t>
      </w:r>
      <w:proofErr w:type="spellStart"/>
      <w:r>
        <w:rPr>
          <w:rFonts w:ascii="Times New Roman" w:hAnsi="Times New Roman"/>
          <w:sz w:val="24"/>
          <w:szCs w:val="24"/>
        </w:rPr>
        <w:t>Danzeng</w:t>
      </w:r>
      <w:proofErr w:type="spellEnd"/>
      <w:r>
        <w:rPr>
          <w:rFonts w:ascii="Times New Roman" w:hAnsi="Times New Roman"/>
          <w:sz w:val="24"/>
          <w:szCs w:val="24"/>
        </w:rPr>
        <w:t xml:space="preserve">, Z. M., Wang, B., Xia, P. L., Zhang, S. Z., Liu, T. X., &amp; Feng, Y. (2023). Rising temperatures affect the interspecific interference competition between </w:t>
      </w:r>
      <w:r>
        <w:rPr>
          <w:rFonts w:ascii="Times New Roman" w:hAnsi="Times New Roman"/>
          <w:i/>
          <w:sz w:val="24"/>
          <w:szCs w:val="24"/>
        </w:rPr>
        <w:t xml:space="preserve">Harmonia </w:t>
      </w:r>
      <w:proofErr w:type="spellStart"/>
      <w:r>
        <w:rPr>
          <w:rFonts w:ascii="Times New Roman" w:hAnsi="Times New Roman"/>
          <w:i/>
          <w:sz w:val="24"/>
          <w:szCs w:val="24"/>
        </w:rPr>
        <w:t>axyridis</w:t>
      </w:r>
      <w:proofErr w:type="spellEnd"/>
      <w:r>
        <w:rPr>
          <w:rFonts w:ascii="Times New Roman" w:hAnsi="Times New Roman"/>
          <w:sz w:val="24"/>
          <w:szCs w:val="24"/>
        </w:rPr>
        <w:t xml:space="preserve"> and </w:t>
      </w:r>
      <w:proofErr w:type="spellStart"/>
      <w:r>
        <w:rPr>
          <w:rFonts w:ascii="Times New Roman" w:hAnsi="Times New Roman"/>
          <w:i/>
          <w:sz w:val="24"/>
          <w:szCs w:val="24"/>
        </w:rPr>
        <w:t>Propylea</w:t>
      </w:r>
      <w:proofErr w:type="spellEnd"/>
      <w:r>
        <w:rPr>
          <w:rFonts w:ascii="Times New Roman" w:hAnsi="Times New Roman"/>
          <w:i/>
          <w:sz w:val="24"/>
          <w:szCs w:val="24"/>
        </w:rPr>
        <w:t xml:space="preserve"> japonica</w:t>
      </w:r>
      <w:r>
        <w:rPr>
          <w:rFonts w:ascii="Times New Roman" w:hAnsi="Times New Roman"/>
          <w:sz w:val="24"/>
          <w:szCs w:val="24"/>
        </w:rPr>
        <w:t xml:space="preserve">, and their predation rate on </w:t>
      </w:r>
      <w:proofErr w:type="spellStart"/>
      <w:r>
        <w:rPr>
          <w:rFonts w:ascii="Times New Roman" w:hAnsi="Times New Roman"/>
          <w:i/>
          <w:sz w:val="24"/>
          <w:szCs w:val="24"/>
        </w:rPr>
        <w:t>Myzus</w:t>
      </w:r>
      <w:proofErr w:type="spellEnd"/>
      <w:r>
        <w:rPr>
          <w:rFonts w:ascii="Times New Roman" w:hAnsi="Times New Roman"/>
          <w:i/>
          <w:sz w:val="24"/>
          <w:szCs w:val="24"/>
        </w:rPr>
        <w:t xml:space="preserve"> </w:t>
      </w:r>
      <w:proofErr w:type="spellStart"/>
      <w:r>
        <w:rPr>
          <w:rFonts w:ascii="Times New Roman" w:hAnsi="Times New Roman"/>
          <w:i/>
          <w:sz w:val="24"/>
          <w:szCs w:val="24"/>
        </w:rPr>
        <w:t>persicae</w:t>
      </w:r>
      <w:proofErr w:type="spellEnd"/>
      <w:r>
        <w:rPr>
          <w:rFonts w:ascii="Times New Roman" w:hAnsi="Times New Roman"/>
          <w:sz w:val="24"/>
          <w:szCs w:val="24"/>
        </w:rPr>
        <w:t>. Journal of Pest Science, 96(2), 695–709. https://doi.org/10.1007/S10340-022-01519-Y</w:t>
      </w:r>
    </w:p>
    <w:sectPr w:rsidR="00B33FFC" w:rsidRPr="00DE51C0">
      <w:pgSz w:w="11906" w:h="16838"/>
      <w:pgMar w:top="1417" w:right="1417" w:bottom="1417" w:left="1700" w:header="708" w:footer="708" w:gutter="0"/>
      <w:lnNumType w:countBy="1" w:restart="continuous"/>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A09DF6" w14:textId="77777777" w:rsidR="00DF05E8" w:rsidRDefault="00DF05E8" w:rsidP="00DF05E8">
      <w:pPr>
        <w:spacing w:after="0" w:line="240" w:lineRule="auto"/>
      </w:pPr>
      <w:r>
        <w:separator/>
      </w:r>
    </w:p>
  </w:endnote>
  <w:endnote w:type="continuationSeparator" w:id="0">
    <w:p w14:paraId="112B0363" w14:textId="77777777" w:rsidR="00DF05E8" w:rsidRDefault="00DF05E8" w:rsidP="00DF05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2047DAF7-6D87-4755-A0BE-39C97022F42F}"/>
    <w:embedBold r:id="rId2" w:fontKey="{5376374D-77B6-49D3-9B06-2F207A3862B9}"/>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embedRegular r:id="rId3" w:fontKey="{991089FF-536B-41D6-AC6B-479233C80FCD}"/>
    <w:embedItalic r:id="rId4" w:fontKey="{6FFD4C05-3DC7-430F-A779-5102FBE61DA6}"/>
  </w:font>
  <w:font w:name="Cambria Math">
    <w:panose1 w:val="02040503050406030204"/>
    <w:charset w:val="EE"/>
    <w:family w:val="roman"/>
    <w:pitch w:val="variable"/>
    <w:sig w:usb0="E00006FF" w:usb1="420024FF" w:usb2="02000000" w:usb3="00000000" w:csb0="0000019F" w:csb1="00000000"/>
    <w:embedRegular r:id="rId5" w:fontKey="{8F2E0228-A0A7-450A-81D8-A39328049C55}"/>
    <w:embedItalic r:id="rId6" w:fontKey="{84F5FF74-D685-49B9-B19F-B8FB71E7D030}"/>
  </w:font>
  <w:font w:name="Quattrocento Sans">
    <w:charset w:val="00"/>
    <w:family w:val="swiss"/>
    <w:pitch w:val="variable"/>
    <w:sig w:usb0="800000BF" w:usb1="4000005B" w:usb2="00000000" w:usb3="00000000" w:csb0="00000001" w:csb1="00000000"/>
    <w:embedRegular r:id="rId7" w:fontKey="{CC9FE63C-1C3F-4FAA-AD40-BE624AF22811}"/>
    <w:embedBold r:id="rId8" w:fontKey="{1E019047-1802-42CB-B0AC-338619E84ADE}"/>
  </w:font>
  <w:font w:name="Calibri Light">
    <w:panose1 w:val="020F0302020204030204"/>
    <w:charset w:val="EE"/>
    <w:family w:val="swiss"/>
    <w:pitch w:val="variable"/>
    <w:sig w:usb0="E4002EFF" w:usb1="C200247B" w:usb2="00000009" w:usb3="00000000" w:csb0="000001FF" w:csb1="00000000"/>
    <w:embedRegular r:id="rId9" w:fontKey="{A48A8366-A9AE-4993-AA8F-8A4C4484E35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C289F" w14:textId="77777777" w:rsidR="00DF05E8" w:rsidRDefault="00DF05E8" w:rsidP="00DF05E8">
      <w:pPr>
        <w:spacing w:after="0" w:line="240" w:lineRule="auto"/>
      </w:pPr>
      <w:r>
        <w:separator/>
      </w:r>
    </w:p>
  </w:footnote>
  <w:footnote w:type="continuationSeparator" w:id="0">
    <w:p w14:paraId="0862F58C" w14:textId="77777777" w:rsidR="00DF05E8" w:rsidRDefault="00DF05E8" w:rsidP="00DF05E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removePersonalInformation/>
  <w:removeDateAndTime/>
  <w:embedTrueTypeFonts/>
  <w:proofState w:spelling="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3FFC"/>
    <w:rsid w:val="00027BCD"/>
    <w:rsid w:val="002F6BE4"/>
    <w:rsid w:val="003B4250"/>
    <w:rsid w:val="004559FC"/>
    <w:rsid w:val="004C37EA"/>
    <w:rsid w:val="00503B38"/>
    <w:rsid w:val="005B194D"/>
    <w:rsid w:val="00625BBF"/>
    <w:rsid w:val="00705DC6"/>
    <w:rsid w:val="00A733E4"/>
    <w:rsid w:val="00A76FF3"/>
    <w:rsid w:val="00B1078A"/>
    <w:rsid w:val="00B33FFC"/>
    <w:rsid w:val="00B61A28"/>
    <w:rsid w:val="00CE4E6C"/>
    <w:rsid w:val="00D6662D"/>
    <w:rsid w:val="00DE51C0"/>
    <w:rsid w:val="00DF05E8"/>
    <w:rsid w:val="00F626C3"/>
    <w:rsid w:val="00FF6A0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DED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9145E"/>
    <w:rPr>
      <w:rFonts w:eastAsia="Times New Roman" w:cs="Times New Roman"/>
      <w:lang w:eastAsia="en-GB"/>
    </w:rPr>
  </w:style>
  <w:style w:type="paragraph" w:styleId="Nagwek1">
    <w:name w:val="heading 1"/>
    <w:basedOn w:val="Normalny"/>
    <w:next w:val="Normalny"/>
    <w:uiPriority w:val="9"/>
    <w:qFormat/>
    <w:pPr>
      <w:keepNext/>
      <w:keepLines/>
      <w:spacing w:before="480" w:after="120"/>
      <w:outlineLvl w:val="0"/>
    </w:pPr>
    <w:rPr>
      <w:b/>
      <w:sz w:val="48"/>
      <w:szCs w:val="48"/>
    </w:rPr>
  </w:style>
  <w:style w:type="paragraph" w:styleId="Nagwek2">
    <w:name w:val="heading 2"/>
    <w:basedOn w:val="Normalny"/>
    <w:next w:val="Normalny"/>
    <w:uiPriority w:val="9"/>
    <w:semiHidden/>
    <w:unhideWhenUsed/>
    <w:qFormat/>
    <w:pPr>
      <w:keepNext/>
      <w:keepLines/>
      <w:spacing w:before="360" w:after="80"/>
      <w:outlineLvl w:val="1"/>
    </w:pPr>
    <w:rPr>
      <w:b/>
      <w:sz w:val="36"/>
      <w:szCs w:val="3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sz w:val="24"/>
      <w:szCs w:val="24"/>
    </w:rPr>
  </w:style>
  <w:style w:type="paragraph" w:styleId="Nagwek5">
    <w:name w:val="heading 5"/>
    <w:basedOn w:val="Normalny"/>
    <w:next w:val="Normalny"/>
    <w:uiPriority w:val="9"/>
    <w:semiHidden/>
    <w:unhideWhenUsed/>
    <w:qFormat/>
    <w:pPr>
      <w:keepNext/>
      <w:keepLines/>
      <w:spacing w:before="220" w:after="40"/>
      <w:outlineLvl w:val="4"/>
    </w:pPr>
    <w:rPr>
      <w:b/>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uiPriority w:val="10"/>
    <w:qFormat/>
    <w:pPr>
      <w:keepNext/>
      <w:keepLines/>
      <w:spacing w:before="480" w:after="120"/>
    </w:pPr>
    <w:rPr>
      <w:b/>
      <w:sz w:val="72"/>
      <w:szCs w:val="72"/>
    </w:rPr>
  </w:style>
  <w:style w:type="table" w:styleId="Tabela-Siatka">
    <w:name w:val="Table Grid"/>
    <w:basedOn w:val="Standardowy"/>
    <w:uiPriority w:val="39"/>
    <w:rsid w:val="0009145E"/>
    <w:pPr>
      <w:spacing w:after="0" w:line="240"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09145E"/>
  </w:style>
  <w:style w:type="character" w:styleId="Odwoaniedokomentarza">
    <w:name w:val="annotation reference"/>
    <w:basedOn w:val="Domylnaczcionkaakapitu"/>
    <w:uiPriority w:val="99"/>
    <w:semiHidden/>
    <w:unhideWhenUsed/>
    <w:rsid w:val="00752831"/>
    <w:rPr>
      <w:sz w:val="16"/>
      <w:szCs w:val="16"/>
    </w:rPr>
  </w:style>
  <w:style w:type="paragraph" w:styleId="Tekstkomentarza">
    <w:name w:val="annotation text"/>
    <w:basedOn w:val="Normalny"/>
    <w:link w:val="TekstkomentarzaZnak"/>
    <w:uiPriority w:val="99"/>
    <w:semiHidden/>
    <w:unhideWhenUsed/>
    <w:rsid w:val="0075283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52831"/>
    <w:rPr>
      <w:rFonts w:ascii="Calibri" w:eastAsia="Times New Roman" w:hAnsi="Calibri" w:cs="Times New Roman"/>
      <w:kern w:val="0"/>
      <w:sz w:val="20"/>
      <w:szCs w:val="20"/>
      <w:lang w:eastAsia="en-GB"/>
    </w:rPr>
  </w:style>
  <w:style w:type="paragraph" w:styleId="Tematkomentarza">
    <w:name w:val="annotation subject"/>
    <w:basedOn w:val="Tekstkomentarza"/>
    <w:next w:val="Tekstkomentarza"/>
    <w:link w:val="TematkomentarzaZnak"/>
    <w:uiPriority w:val="99"/>
    <w:semiHidden/>
    <w:unhideWhenUsed/>
    <w:rsid w:val="00752831"/>
    <w:rPr>
      <w:b/>
      <w:bCs/>
    </w:rPr>
  </w:style>
  <w:style w:type="character" w:customStyle="1" w:styleId="TematkomentarzaZnak">
    <w:name w:val="Temat komentarza Znak"/>
    <w:basedOn w:val="TekstkomentarzaZnak"/>
    <w:link w:val="Tematkomentarza"/>
    <w:uiPriority w:val="99"/>
    <w:semiHidden/>
    <w:rsid w:val="00752831"/>
    <w:rPr>
      <w:rFonts w:ascii="Calibri" w:eastAsia="Times New Roman" w:hAnsi="Calibri" w:cs="Times New Roman"/>
      <w:b/>
      <w:bCs/>
      <w:kern w:val="0"/>
      <w:sz w:val="20"/>
      <w:szCs w:val="20"/>
      <w:lang w:eastAsia="en-GB"/>
    </w:rPr>
  </w:style>
  <w:style w:type="paragraph" w:styleId="Poprawka">
    <w:name w:val="Revision"/>
    <w:hidden/>
    <w:uiPriority w:val="99"/>
    <w:semiHidden/>
    <w:rsid w:val="00BA0305"/>
    <w:pPr>
      <w:spacing w:after="0" w:line="240" w:lineRule="auto"/>
    </w:pPr>
    <w:rPr>
      <w:rFonts w:eastAsia="Times New Roman" w:cs="Times New Roman"/>
      <w:lang w:eastAsia="en-GB"/>
    </w:rPr>
  </w:style>
  <w:style w:type="character" w:styleId="Hipercze">
    <w:name w:val="Hyperlink"/>
    <w:basedOn w:val="Domylnaczcionkaakapitu"/>
    <w:uiPriority w:val="99"/>
    <w:unhideWhenUsed/>
    <w:rsid w:val="00A2264D"/>
    <w:rPr>
      <w:color w:val="0563C1" w:themeColor="hyperlink"/>
      <w:u w:val="single"/>
    </w:rPr>
  </w:style>
  <w:style w:type="character" w:styleId="Nierozpoznanawzmianka">
    <w:name w:val="Unresolved Mention"/>
    <w:basedOn w:val="Domylnaczcionkaakapitu"/>
    <w:uiPriority w:val="99"/>
    <w:semiHidden/>
    <w:unhideWhenUsed/>
    <w:rsid w:val="00A2264D"/>
    <w:rPr>
      <w:color w:val="605E5C"/>
      <w:shd w:val="clear" w:color="auto" w:fill="E1DFDD"/>
    </w:rPr>
  </w:style>
  <w:style w:type="paragraph" w:styleId="Akapitzlist">
    <w:name w:val="List Paragraph"/>
    <w:basedOn w:val="Normalny"/>
    <w:uiPriority w:val="34"/>
    <w:qFormat/>
    <w:rsid w:val="00202355"/>
    <w:pPr>
      <w:ind w:left="720"/>
      <w:contextualSpacing/>
    </w:p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Nagwek">
    <w:name w:val="header"/>
    <w:basedOn w:val="Normalny"/>
    <w:link w:val="NagwekZnak"/>
    <w:uiPriority w:val="99"/>
    <w:unhideWhenUsed/>
    <w:rsid w:val="00DF05E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F05E8"/>
    <w:rPr>
      <w:rFonts w:eastAsia="Times New Roman" w:cs="Times New Roman"/>
      <w:lang w:eastAsia="en-GB"/>
    </w:rPr>
  </w:style>
  <w:style w:type="paragraph" w:styleId="Stopka">
    <w:name w:val="footer"/>
    <w:basedOn w:val="Normalny"/>
    <w:link w:val="StopkaZnak"/>
    <w:uiPriority w:val="99"/>
    <w:unhideWhenUsed/>
    <w:rsid w:val="00DF05E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F05E8"/>
    <w:rPr>
      <w:rFonts w:eastAsia="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eXGGC65eflk/v9dRKRvjJT4hvmg==">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8978</Words>
  <Characters>53872</Characters>
  <Application>Microsoft Office Word</Application>
  <DocSecurity>0</DocSecurity>
  <Lines>448</Lines>
  <Paragraphs>125</Paragraphs>
  <ScaleCrop>false</ScaleCrop>
  <Company/>
  <LinksUpToDate>false</LinksUpToDate>
  <CharactersWithSpaces>62725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2025-07-14T12:59:00Z</dcterms:created>
  <dcterms:modified xsi:type="dcterms:W3CDTF">2025-07-14T13:00:00Z</dcterms:modified>
</cp:coreProperties>
</file>