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DF" w:rsidRDefault="003645DF" w:rsidP="009E7F3B">
      <w:pPr>
        <w:jc w:val="both"/>
        <w:rPr>
          <w:sz w:val="26"/>
          <w:szCs w:val="26"/>
        </w:rPr>
      </w:pPr>
      <w:r w:rsidRPr="003645DF">
        <w:rPr>
          <w:sz w:val="26"/>
          <w:szCs w:val="26"/>
        </w:rPr>
        <w:t>Prof. UMK dr hab. Tomasz Justyński LL.M.</w:t>
      </w:r>
    </w:p>
    <w:p w:rsidR="00C13A63" w:rsidRDefault="00C13A63" w:rsidP="009E7F3B">
      <w:pPr>
        <w:jc w:val="both"/>
        <w:rPr>
          <w:sz w:val="26"/>
          <w:szCs w:val="26"/>
        </w:rPr>
      </w:pPr>
      <w:r>
        <w:rPr>
          <w:sz w:val="26"/>
          <w:szCs w:val="26"/>
        </w:rPr>
        <w:t>Kierownik Katedry Prawa Cywilnego</w:t>
      </w:r>
    </w:p>
    <w:p w:rsidR="00C13A63" w:rsidRPr="003645DF" w:rsidRDefault="00C13A63" w:rsidP="009E7F3B">
      <w:pPr>
        <w:jc w:val="both"/>
        <w:rPr>
          <w:sz w:val="26"/>
          <w:szCs w:val="26"/>
        </w:rPr>
      </w:pPr>
      <w:r>
        <w:rPr>
          <w:sz w:val="26"/>
          <w:szCs w:val="26"/>
        </w:rPr>
        <w:t>UMK w Toruniu</w:t>
      </w:r>
    </w:p>
    <w:p w:rsidR="003645DF" w:rsidRPr="003645DF" w:rsidRDefault="003645DF" w:rsidP="009E7F3B">
      <w:pPr>
        <w:jc w:val="both"/>
        <w:rPr>
          <w:sz w:val="26"/>
          <w:szCs w:val="26"/>
        </w:rPr>
      </w:pPr>
    </w:p>
    <w:p w:rsidR="003645DF" w:rsidRPr="003645DF" w:rsidRDefault="003645DF" w:rsidP="009E7F3B">
      <w:pPr>
        <w:jc w:val="both"/>
        <w:rPr>
          <w:sz w:val="26"/>
          <w:szCs w:val="26"/>
        </w:rPr>
      </w:pPr>
      <w:r w:rsidRPr="003645DF">
        <w:rPr>
          <w:sz w:val="26"/>
          <w:szCs w:val="26"/>
        </w:rPr>
        <w:t>ORCID: 0000-0003-0270-4178</w:t>
      </w:r>
    </w:p>
    <w:p w:rsidR="003645DF" w:rsidRDefault="003645DF" w:rsidP="009E7F3B">
      <w:pPr>
        <w:jc w:val="both"/>
        <w:rPr>
          <w:sz w:val="26"/>
          <w:szCs w:val="26"/>
        </w:rPr>
      </w:pPr>
    </w:p>
    <w:p w:rsidR="005E0F49" w:rsidRDefault="005E0F49" w:rsidP="009E7F3B">
      <w:pPr>
        <w:jc w:val="both"/>
        <w:rPr>
          <w:b/>
          <w:sz w:val="26"/>
          <w:szCs w:val="26"/>
        </w:rPr>
      </w:pPr>
    </w:p>
    <w:p w:rsidR="005E0F49" w:rsidRDefault="005E0F49" w:rsidP="009E7F3B">
      <w:pPr>
        <w:jc w:val="both"/>
        <w:rPr>
          <w:b/>
          <w:sz w:val="26"/>
          <w:szCs w:val="26"/>
        </w:rPr>
      </w:pPr>
    </w:p>
    <w:p w:rsidR="009E7F3B" w:rsidRDefault="005E0F49" w:rsidP="009E7F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="00646A69" w:rsidRPr="00646A69">
        <w:rPr>
          <w:b/>
          <w:sz w:val="26"/>
          <w:szCs w:val="26"/>
        </w:rPr>
        <w:t>adużycie prawa do żądania zachowku</w:t>
      </w:r>
      <w:r w:rsidR="00646A6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646A69">
        <w:rPr>
          <w:b/>
          <w:sz w:val="26"/>
          <w:szCs w:val="26"/>
        </w:rPr>
        <w:t>Glosa do wyroku</w:t>
      </w:r>
      <w:r w:rsidR="009E7F3B">
        <w:rPr>
          <w:b/>
          <w:sz w:val="26"/>
          <w:szCs w:val="26"/>
        </w:rPr>
        <w:t xml:space="preserve"> S</w:t>
      </w:r>
      <w:r w:rsidR="004820C1">
        <w:rPr>
          <w:b/>
          <w:sz w:val="26"/>
          <w:szCs w:val="26"/>
        </w:rPr>
        <w:t>ąd</w:t>
      </w:r>
      <w:r w:rsidR="00646A69">
        <w:rPr>
          <w:b/>
          <w:sz w:val="26"/>
          <w:szCs w:val="26"/>
        </w:rPr>
        <w:t>u Najwyższego z dnia 28 marca 2018 r., V CSK 428/17</w:t>
      </w:r>
      <w:r w:rsidR="00D86394">
        <w:rPr>
          <w:rStyle w:val="Odwoanieprzypisudolnego"/>
          <w:b/>
          <w:sz w:val="26"/>
          <w:szCs w:val="26"/>
        </w:rPr>
        <w:footnoteReference w:id="1"/>
      </w:r>
    </w:p>
    <w:p w:rsidR="009E7F3B" w:rsidRDefault="009E7F3B" w:rsidP="009E7F3B">
      <w:pPr>
        <w:jc w:val="both"/>
        <w:rPr>
          <w:b/>
          <w:sz w:val="26"/>
          <w:szCs w:val="26"/>
        </w:rPr>
      </w:pPr>
    </w:p>
    <w:p w:rsidR="00D66BE5" w:rsidRPr="00404FA7" w:rsidRDefault="00646A69" w:rsidP="00404FA7">
      <w:pPr>
        <w:jc w:val="both"/>
        <w:rPr>
          <w:b/>
          <w:sz w:val="26"/>
          <w:szCs w:val="26"/>
        </w:rPr>
      </w:pPr>
      <w:r w:rsidRPr="00646A69">
        <w:rPr>
          <w:b/>
          <w:sz w:val="26"/>
          <w:szCs w:val="26"/>
        </w:rPr>
        <w:t>Nie jest dopuszczalne oddalenie powództwa o zachowek na podstawie art. 5 k.c.</w:t>
      </w:r>
    </w:p>
    <w:p w:rsidR="00404FA7" w:rsidRDefault="00404FA7" w:rsidP="00404FA7">
      <w:pPr>
        <w:jc w:val="both"/>
        <w:rPr>
          <w:sz w:val="26"/>
          <w:szCs w:val="26"/>
        </w:rPr>
      </w:pPr>
    </w:p>
    <w:p w:rsidR="005B350C" w:rsidRDefault="005B350C" w:rsidP="00404FA7">
      <w:pPr>
        <w:jc w:val="both"/>
        <w:rPr>
          <w:sz w:val="26"/>
          <w:szCs w:val="26"/>
        </w:rPr>
      </w:pPr>
    </w:p>
    <w:p w:rsidR="005B350C" w:rsidRDefault="005B350C" w:rsidP="00404FA7">
      <w:pPr>
        <w:jc w:val="both"/>
        <w:rPr>
          <w:sz w:val="26"/>
          <w:szCs w:val="26"/>
        </w:rPr>
      </w:pPr>
    </w:p>
    <w:p w:rsidR="00E465E5" w:rsidRDefault="002145A5" w:rsidP="00646A69">
      <w:pPr>
        <w:jc w:val="both"/>
        <w:rPr>
          <w:sz w:val="26"/>
          <w:szCs w:val="26"/>
        </w:rPr>
      </w:pPr>
      <w:r w:rsidRPr="000C09A6">
        <w:rPr>
          <w:b/>
          <w:sz w:val="26"/>
          <w:szCs w:val="26"/>
        </w:rPr>
        <w:t>1.</w:t>
      </w:r>
      <w:r w:rsidR="00411542" w:rsidRPr="000C09A6">
        <w:rPr>
          <w:b/>
          <w:sz w:val="26"/>
          <w:szCs w:val="26"/>
        </w:rPr>
        <w:tab/>
      </w:r>
      <w:r w:rsidR="00BE1476">
        <w:rPr>
          <w:sz w:val="26"/>
          <w:szCs w:val="26"/>
        </w:rPr>
        <w:t xml:space="preserve"> </w:t>
      </w:r>
      <w:r w:rsidR="003A7B69">
        <w:rPr>
          <w:sz w:val="26"/>
          <w:szCs w:val="26"/>
        </w:rPr>
        <w:t xml:space="preserve">Teza wyroku sformułowana przez Sąd Najwyższy zaskakuje. </w:t>
      </w:r>
      <w:r w:rsidR="00FF4EA7">
        <w:rPr>
          <w:sz w:val="26"/>
          <w:szCs w:val="26"/>
        </w:rPr>
        <w:t xml:space="preserve">Dotychczas powszechnie przyjmowano </w:t>
      </w:r>
      <w:r w:rsidR="00090563">
        <w:rPr>
          <w:sz w:val="26"/>
          <w:szCs w:val="26"/>
        </w:rPr>
        <w:t xml:space="preserve">jako pewnik </w:t>
      </w:r>
      <w:r w:rsidR="00230707">
        <w:rPr>
          <w:sz w:val="26"/>
          <w:szCs w:val="26"/>
        </w:rPr>
        <w:t>(</w:t>
      </w:r>
      <w:r w:rsidR="00FF4EA7">
        <w:rPr>
          <w:sz w:val="26"/>
          <w:szCs w:val="26"/>
        </w:rPr>
        <w:t xml:space="preserve">i przyjmuje się </w:t>
      </w:r>
      <w:r w:rsidR="009F53A5">
        <w:rPr>
          <w:sz w:val="26"/>
          <w:szCs w:val="26"/>
        </w:rPr>
        <w:t xml:space="preserve">jednak </w:t>
      </w:r>
      <w:r w:rsidR="00683027">
        <w:rPr>
          <w:sz w:val="26"/>
          <w:szCs w:val="26"/>
        </w:rPr>
        <w:t xml:space="preserve">szczęśliwie </w:t>
      </w:r>
      <w:r w:rsidR="00FF4EA7">
        <w:rPr>
          <w:sz w:val="26"/>
          <w:szCs w:val="26"/>
        </w:rPr>
        <w:t>nadal</w:t>
      </w:r>
      <w:r w:rsidR="00CF6196">
        <w:rPr>
          <w:rStyle w:val="Odwoanieprzypisudolnego"/>
          <w:sz w:val="26"/>
          <w:szCs w:val="26"/>
        </w:rPr>
        <w:footnoteReference w:id="2"/>
      </w:r>
      <w:r w:rsidR="00230707">
        <w:rPr>
          <w:sz w:val="26"/>
          <w:szCs w:val="26"/>
        </w:rPr>
        <w:t>)</w:t>
      </w:r>
      <w:r w:rsidR="00FF4EA7">
        <w:rPr>
          <w:sz w:val="26"/>
          <w:szCs w:val="26"/>
        </w:rPr>
        <w:t>, że wykonywanie prawa do zachowku poprzez zgłoszenie żądania jego zapłaty kierowane do spadkobiercy (lub spadkobierców) może być niezgodne z zas</w:t>
      </w:r>
      <w:r w:rsidR="005E445F">
        <w:rPr>
          <w:sz w:val="26"/>
          <w:szCs w:val="26"/>
        </w:rPr>
        <w:t xml:space="preserve">adami współżycia społecznego. </w:t>
      </w:r>
      <w:r w:rsidR="00FF4EA7">
        <w:rPr>
          <w:sz w:val="26"/>
          <w:szCs w:val="26"/>
        </w:rPr>
        <w:t>A skoro tak,</w:t>
      </w:r>
      <w:r w:rsidR="00C82DF0">
        <w:rPr>
          <w:sz w:val="26"/>
          <w:szCs w:val="26"/>
        </w:rPr>
        <w:t xml:space="preserve"> to</w:t>
      </w:r>
      <w:r w:rsidR="00FF4EA7">
        <w:rPr>
          <w:sz w:val="26"/>
          <w:szCs w:val="26"/>
        </w:rPr>
        <w:t xml:space="preserve"> żądanie </w:t>
      </w:r>
      <w:r w:rsidR="00C82DF0">
        <w:rPr>
          <w:sz w:val="26"/>
          <w:szCs w:val="26"/>
        </w:rPr>
        <w:t xml:space="preserve">takie sąd może </w:t>
      </w:r>
      <w:r w:rsidR="00FF4EA7">
        <w:rPr>
          <w:sz w:val="26"/>
          <w:szCs w:val="26"/>
        </w:rPr>
        <w:t>oddalić z odwołaniem się do normy będącej swoistym „wentylem bezpieczeństwa” w systemie prawa stanowionego. Czyli do art. 5 Kodeksu cywilnego. Przepis ten umożliwia ocenę wykonywania każdego prawa podmiotowego</w:t>
      </w:r>
      <w:r w:rsidR="00E465E5">
        <w:rPr>
          <w:sz w:val="26"/>
          <w:szCs w:val="26"/>
        </w:rPr>
        <w:t xml:space="preserve"> z perspektywy ewentualnego nadużycia prawa</w:t>
      </w:r>
      <w:r w:rsidR="004E3962" w:rsidRPr="004E3962">
        <w:rPr>
          <w:sz w:val="26"/>
          <w:szCs w:val="26"/>
          <w:vertAlign w:val="superscript"/>
        </w:rPr>
        <w:footnoteReference w:id="3"/>
      </w:r>
      <w:r w:rsidR="00E465E5">
        <w:rPr>
          <w:sz w:val="26"/>
          <w:szCs w:val="26"/>
        </w:rPr>
        <w:t xml:space="preserve">. </w:t>
      </w:r>
    </w:p>
    <w:p w:rsidR="00E465E5" w:rsidRDefault="00E465E5" w:rsidP="00646A6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Co ciekawe, w zasadzie niewiele można zarzucić treści uzasadnienia. </w:t>
      </w:r>
      <w:r w:rsidR="007D1605">
        <w:rPr>
          <w:sz w:val="26"/>
          <w:szCs w:val="26"/>
        </w:rPr>
        <w:t xml:space="preserve">A przynajmniej pojmowaniu konstrukcji nadużycia prawa </w:t>
      </w:r>
      <w:r w:rsidR="00C82DF0">
        <w:rPr>
          <w:sz w:val="26"/>
          <w:szCs w:val="26"/>
        </w:rPr>
        <w:t>za</w:t>
      </w:r>
      <w:r w:rsidR="007D1605">
        <w:rPr>
          <w:sz w:val="26"/>
          <w:szCs w:val="26"/>
        </w:rPr>
        <w:t xml:space="preserve">prezentowanemu </w:t>
      </w:r>
      <w:r w:rsidR="00FD221E">
        <w:rPr>
          <w:sz w:val="26"/>
          <w:szCs w:val="26"/>
        </w:rPr>
        <w:t>przez S</w:t>
      </w:r>
      <w:r w:rsidR="007D1605">
        <w:rPr>
          <w:sz w:val="26"/>
          <w:szCs w:val="26"/>
        </w:rPr>
        <w:t xml:space="preserve">ąd. </w:t>
      </w:r>
      <w:r>
        <w:rPr>
          <w:sz w:val="26"/>
          <w:szCs w:val="26"/>
        </w:rPr>
        <w:t>Sąd Najwyż</w:t>
      </w:r>
      <w:r w:rsidR="007D1605">
        <w:rPr>
          <w:sz w:val="26"/>
          <w:szCs w:val="26"/>
        </w:rPr>
        <w:t>szy przejrzyście rekonstruuje</w:t>
      </w:r>
      <w:r>
        <w:rPr>
          <w:sz w:val="26"/>
          <w:szCs w:val="26"/>
        </w:rPr>
        <w:t xml:space="preserve"> utrwalone zasady rozumienia konstrukcji </w:t>
      </w:r>
      <w:r>
        <w:rPr>
          <w:sz w:val="26"/>
          <w:szCs w:val="26"/>
        </w:rPr>
        <w:lastRenderedPageBreak/>
        <w:t>nadużycia prawa. Przytacza je skrupulatnie</w:t>
      </w:r>
      <w:r w:rsidR="00C82DF0">
        <w:rPr>
          <w:sz w:val="26"/>
          <w:szCs w:val="26"/>
        </w:rPr>
        <w:t xml:space="preserve"> i w pełni akceptuje</w:t>
      </w:r>
      <w:r>
        <w:rPr>
          <w:sz w:val="26"/>
          <w:szCs w:val="26"/>
        </w:rPr>
        <w:t xml:space="preserve">. Można nawet dodać, </w:t>
      </w:r>
      <w:r w:rsidR="007D1605">
        <w:rPr>
          <w:sz w:val="26"/>
          <w:szCs w:val="26"/>
        </w:rPr>
        <w:t>że nie zawsze i nie w każdym składzie SN tak czynił</w:t>
      </w:r>
      <w:r w:rsidR="007D1605">
        <w:rPr>
          <w:rStyle w:val="Odwoanieprzypisudolnego"/>
          <w:sz w:val="26"/>
          <w:szCs w:val="26"/>
        </w:rPr>
        <w:footnoteReference w:id="4"/>
      </w:r>
      <w:r w:rsidR="007D160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</w:p>
    <w:p w:rsidR="009F53A5" w:rsidRDefault="00C82DF0" w:rsidP="00646A6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30707">
        <w:rPr>
          <w:sz w:val="26"/>
          <w:szCs w:val="26"/>
        </w:rPr>
        <w:t>Oceniaj</w:t>
      </w:r>
      <w:r w:rsidR="001819FB">
        <w:rPr>
          <w:sz w:val="26"/>
          <w:szCs w:val="26"/>
        </w:rPr>
        <w:t>ąc</w:t>
      </w:r>
      <w:r w:rsidR="009F53A5">
        <w:rPr>
          <w:sz w:val="26"/>
          <w:szCs w:val="26"/>
        </w:rPr>
        <w:t xml:space="preserve"> tezę</w:t>
      </w:r>
      <w:r w:rsidR="00D96C05">
        <w:rPr>
          <w:sz w:val="26"/>
          <w:szCs w:val="26"/>
        </w:rPr>
        <w:t xml:space="preserve"> orzeczenia </w:t>
      </w:r>
      <w:r w:rsidR="005E445F">
        <w:rPr>
          <w:sz w:val="26"/>
          <w:szCs w:val="26"/>
        </w:rPr>
        <w:t xml:space="preserve">w oderwaniu i </w:t>
      </w:r>
      <w:r w:rsidR="00D96C05">
        <w:rPr>
          <w:sz w:val="26"/>
          <w:szCs w:val="26"/>
        </w:rPr>
        <w:t>jeszcze przed lekturą</w:t>
      </w:r>
      <w:r w:rsidR="009F53A5">
        <w:rPr>
          <w:sz w:val="26"/>
          <w:szCs w:val="26"/>
        </w:rPr>
        <w:t xml:space="preserve"> jego uzasadnienia </w:t>
      </w:r>
      <w:r w:rsidR="00D96C05">
        <w:rPr>
          <w:sz w:val="26"/>
          <w:szCs w:val="26"/>
        </w:rPr>
        <w:t xml:space="preserve">można </w:t>
      </w:r>
      <w:r w:rsidR="00E620D3">
        <w:rPr>
          <w:sz w:val="26"/>
          <w:szCs w:val="26"/>
        </w:rPr>
        <w:t>próbować racjonalizować wy</w:t>
      </w:r>
      <w:r w:rsidR="005E445F">
        <w:rPr>
          <w:sz w:val="26"/>
          <w:szCs w:val="26"/>
        </w:rPr>
        <w:t>konaną przez Sąd Najwyższy „woltę”</w:t>
      </w:r>
      <w:r w:rsidR="00D96C05">
        <w:rPr>
          <w:sz w:val="26"/>
          <w:szCs w:val="26"/>
        </w:rPr>
        <w:t>. A więc</w:t>
      </w:r>
      <w:r w:rsidR="005E445F">
        <w:rPr>
          <w:sz w:val="26"/>
          <w:szCs w:val="26"/>
        </w:rPr>
        <w:t>,</w:t>
      </w:r>
      <w:r w:rsidR="00D96C05">
        <w:rPr>
          <w:sz w:val="26"/>
          <w:szCs w:val="26"/>
        </w:rPr>
        <w:t xml:space="preserve"> przyczyn </w:t>
      </w:r>
      <w:r w:rsidR="005E445F">
        <w:rPr>
          <w:sz w:val="26"/>
          <w:szCs w:val="26"/>
        </w:rPr>
        <w:t>niespodziewanego odstąpienia</w:t>
      </w:r>
      <w:r w:rsidR="00D96C05">
        <w:rPr>
          <w:sz w:val="26"/>
          <w:szCs w:val="26"/>
        </w:rPr>
        <w:t xml:space="preserve"> od dotychczasowej</w:t>
      </w:r>
      <w:r w:rsidR="005E445F">
        <w:rPr>
          <w:sz w:val="26"/>
          <w:szCs w:val="26"/>
        </w:rPr>
        <w:t>,</w:t>
      </w:r>
      <w:r w:rsidR="00D96C05">
        <w:rPr>
          <w:sz w:val="26"/>
          <w:szCs w:val="26"/>
        </w:rPr>
        <w:t xml:space="preserve"> utrwalonej linii </w:t>
      </w:r>
      <w:r w:rsidR="00E91EAF">
        <w:rPr>
          <w:sz w:val="26"/>
          <w:szCs w:val="26"/>
        </w:rPr>
        <w:t xml:space="preserve">orzeczniczej upatrywać </w:t>
      </w:r>
      <w:r w:rsidR="00D96C05">
        <w:rPr>
          <w:sz w:val="26"/>
          <w:szCs w:val="26"/>
        </w:rPr>
        <w:t xml:space="preserve">w </w:t>
      </w:r>
      <w:r w:rsidR="00136FEB">
        <w:rPr>
          <w:sz w:val="26"/>
          <w:szCs w:val="26"/>
        </w:rPr>
        <w:t>potrzebie korekty nieprawidłowej praktyki</w:t>
      </w:r>
      <w:r w:rsidR="00D96C05">
        <w:rPr>
          <w:sz w:val="26"/>
          <w:szCs w:val="26"/>
        </w:rPr>
        <w:t xml:space="preserve"> sądów powszechnych. Te </w:t>
      </w:r>
      <w:r w:rsidR="00E91EAF">
        <w:rPr>
          <w:sz w:val="26"/>
          <w:szCs w:val="26"/>
        </w:rPr>
        <w:t>ostatnie niestety, jak powszechnie wiadomo,</w:t>
      </w:r>
      <w:r w:rsidR="00D96C05">
        <w:rPr>
          <w:sz w:val="26"/>
          <w:szCs w:val="26"/>
        </w:rPr>
        <w:t xml:space="preserve"> oddal</w:t>
      </w:r>
      <w:r w:rsidR="00E620D3">
        <w:rPr>
          <w:sz w:val="26"/>
          <w:szCs w:val="26"/>
        </w:rPr>
        <w:t>enie żądania</w:t>
      </w:r>
      <w:r w:rsidR="00D96C05">
        <w:rPr>
          <w:sz w:val="26"/>
          <w:szCs w:val="26"/>
        </w:rPr>
        <w:t xml:space="preserve"> zachowku na podstawie art. 5 k.c. </w:t>
      </w:r>
      <w:r w:rsidR="005253A5">
        <w:rPr>
          <w:sz w:val="26"/>
          <w:szCs w:val="26"/>
        </w:rPr>
        <w:t>nierzadko</w:t>
      </w:r>
      <w:r w:rsidR="00E91EAF">
        <w:rPr>
          <w:sz w:val="26"/>
          <w:szCs w:val="26"/>
        </w:rPr>
        <w:t xml:space="preserve"> </w:t>
      </w:r>
      <w:r w:rsidR="00D96C05">
        <w:rPr>
          <w:sz w:val="26"/>
          <w:szCs w:val="26"/>
        </w:rPr>
        <w:t>traktują jako objęte</w:t>
      </w:r>
      <w:r w:rsidR="005E445F">
        <w:rPr>
          <w:sz w:val="26"/>
          <w:szCs w:val="26"/>
        </w:rPr>
        <w:t xml:space="preserve"> powagą</w:t>
      </w:r>
      <w:r w:rsidR="00D96C05">
        <w:rPr>
          <w:sz w:val="26"/>
          <w:szCs w:val="26"/>
        </w:rPr>
        <w:t xml:space="preserve"> </w:t>
      </w:r>
      <w:r w:rsidR="00D96C05" w:rsidRPr="00D96C05">
        <w:rPr>
          <w:i/>
          <w:sz w:val="26"/>
          <w:szCs w:val="26"/>
        </w:rPr>
        <w:t>res iudicata</w:t>
      </w:r>
      <w:r w:rsidR="00D96C05">
        <w:rPr>
          <w:sz w:val="26"/>
          <w:szCs w:val="26"/>
        </w:rPr>
        <w:t xml:space="preserve">. A zatem </w:t>
      </w:r>
      <w:r w:rsidR="00E91EAF">
        <w:rPr>
          <w:sz w:val="26"/>
          <w:szCs w:val="26"/>
        </w:rPr>
        <w:t xml:space="preserve">przydają mu znaczenie </w:t>
      </w:r>
      <w:r w:rsidR="00D96C05" w:rsidRPr="007D2C47">
        <w:rPr>
          <w:spacing w:val="80"/>
          <w:sz w:val="26"/>
          <w:szCs w:val="26"/>
        </w:rPr>
        <w:t>definitywne</w:t>
      </w:r>
      <w:r w:rsidR="00E91EAF" w:rsidRPr="007D2C47">
        <w:rPr>
          <w:spacing w:val="80"/>
          <w:sz w:val="26"/>
          <w:szCs w:val="26"/>
        </w:rPr>
        <w:t>go</w:t>
      </w:r>
      <w:r w:rsidR="00E91EAF">
        <w:rPr>
          <w:sz w:val="26"/>
          <w:szCs w:val="26"/>
        </w:rPr>
        <w:t xml:space="preserve"> pozbawienia</w:t>
      </w:r>
      <w:r w:rsidR="00D96C05">
        <w:rPr>
          <w:sz w:val="26"/>
          <w:szCs w:val="26"/>
        </w:rPr>
        <w:t xml:space="preserve"> (lub ewentualnie definitywne</w:t>
      </w:r>
      <w:r w:rsidR="00E91EAF">
        <w:rPr>
          <w:sz w:val="26"/>
          <w:szCs w:val="26"/>
        </w:rPr>
        <w:t>go ograniczenia</w:t>
      </w:r>
      <w:r w:rsidR="00D96C05">
        <w:rPr>
          <w:sz w:val="26"/>
          <w:szCs w:val="26"/>
        </w:rPr>
        <w:t>) prawa do zachowku. Tymczasem takiej</w:t>
      </w:r>
      <w:r w:rsidR="00E91EAF">
        <w:rPr>
          <w:sz w:val="26"/>
          <w:szCs w:val="26"/>
        </w:rPr>
        <w:t xml:space="preserve"> „definitywnej” </w:t>
      </w:r>
      <w:r w:rsidR="00D96C05">
        <w:rPr>
          <w:sz w:val="26"/>
          <w:szCs w:val="26"/>
        </w:rPr>
        <w:t xml:space="preserve"> ochrony </w:t>
      </w:r>
      <w:r w:rsidR="00E91EAF">
        <w:rPr>
          <w:sz w:val="26"/>
          <w:szCs w:val="26"/>
        </w:rPr>
        <w:t xml:space="preserve">przepis </w:t>
      </w:r>
      <w:r w:rsidR="00D96C05">
        <w:rPr>
          <w:sz w:val="26"/>
          <w:szCs w:val="26"/>
        </w:rPr>
        <w:t>art.</w:t>
      </w:r>
      <w:r w:rsidR="00E91EAF">
        <w:rPr>
          <w:sz w:val="26"/>
          <w:szCs w:val="26"/>
        </w:rPr>
        <w:t xml:space="preserve"> 5 </w:t>
      </w:r>
      <w:r w:rsidR="00481C20">
        <w:rPr>
          <w:sz w:val="26"/>
          <w:szCs w:val="26"/>
        </w:rPr>
        <w:t>k.c.</w:t>
      </w:r>
      <w:r w:rsidR="00E91EAF">
        <w:rPr>
          <w:sz w:val="26"/>
          <w:szCs w:val="26"/>
        </w:rPr>
        <w:t xml:space="preserve"> stwarza</w:t>
      </w:r>
      <w:r w:rsidR="00481C20">
        <w:rPr>
          <w:sz w:val="26"/>
          <w:szCs w:val="26"/>
        </w:rPr>
        <w:t>ć nie może</w:t>
      </w:r>
      <w:r w:rsidR="00E12434">
        <w:rPr>
          <w:sz w:val="26"/>
          <w:szCs w:val="26"/>
        </w:rPr>
        <w:t xml:space="preserve"> i nie stwarza</w:t>
      </w:r>
      <w:r w:rsidR="00E91EAF">
        <w:rPr>
          <w:sz w:val="26"/>
          <w:szCs w:val="26"/>
        </w:rPr>
        <w:t xml:space="preserve">. </w:t>
      </w:r>
      <w:r w:rsidR="00481C20">
        <w:rPr>
          <w:sz w:val="26"/>
          <w:szCs w:val="26"/>
        </w:rPr>
        <w:t xml:space="preserve">Ochrona jest „przejściowa” i rozciąga się na czas występowania sprzeczności żądania zachowku z zasadami współżycia społecznego. Po jej ustaniu </w:t>
      </w:r>
      <w:r w:rsidR="00E361BC">
        <w:rPr>
          <w:sz w:val="26"/>
          <w:szCs w:val="26"/>
        </w:rPr>
        <w:t xml:space="preserve">kolejna </w:t>
      </w:r>
      <w:r w:rsidR="00481C20">
        <w:rPr>
          <w:sz w:val="26"/>
          <w:szCs w:val="26"/>
        </w:rPr>
        <w:t>ocena może wypaść odmiennie</w:t>
      </w:r>
      <w:r w:rsidR="005E445F">
        <w:rPr>
          <w:rStyle w:val="Odwoanieprzypisudolnego"/>
          <w:sz w:val="26"/>
          <w:szCs w:val="26"/>
        </w:rPr>
        <w:footnoteReference w:id="5"/>
      </w:r>
      <w:r w:rsidR="00481C20">
        <w:rPr>
          <w:sz w:val="26"/>
          <w:szCs w:val="26"/>
        </w:rPr>
        <w:t xml:space="preserve">. </w:t>
      </w:r>
      <w:r w:rsidR="00E91EAF">
        <w:rPr>
          <w:sz w:val="26"/>
          <w:szCs w:val="26"/>
        </w:rPr>
        <w:t>Mogłoby się zatem wydawać, że mając na względzie tę właśnie równie nieprawidłową co jednocześnie trudną do „wykorzenienia” praktykę</w:t>
      </w:r>
      <w:r w:rsidR="005E445F">
        <w:rPr>
          <w:sz w:val="26"/>
          <w:szCs w:val="26"/>
        </w:rPr>
        <w:t>,</w:t>
      </w:r>
      <w:r w:rsidR="00E91EAF">
        <w:rPr>
          <w:sz w:val="26"/>
          <w:szCs w:val="26"/>
        </w:rPr>
        <w:t xml:space="preserve"> Sąd Najwyższy postanowił radykalnie postawić tamę i w ogóle wykluczyć „manipulowanie przy zachowku” z pomocą art. 5 k.c.</w:t>
      </w:r>
      <w:r w:rsidR="00D96C05">
        <w:rPr>
          <w:sz w:val="26"/>
          <w:szCs w:val="26"/>
        </w:rPr>
        <w:t xml:space="preserve"> </w:t>
      </w:r>
      <w:r w:rsidR="00E91EAF">
        <w:rPr>
          <w:sz w:val="26"/>
          <w:szCs w:val="26"/>
        </w:rPr>
        <w:t>Lektura uzasadn</w:t>
      </w:r>
      <w:r w:rsidR="005E445F">
        <w:rPr>
          <w:sz w:val="26"/>
          <w:szCs w:val="26"/>
        </w:rPr>
        <w:t>ienia pokazuje jednak, że zgoła</w:t>
      </w:r>
      <w:r w:rsidR="00E91EAF">
        <w:rPr>
          <w:sz w:val="26"/>
          <w:szCs w:val="26"/>
        </w:rPr>
        <w:t xml:space="preserve"> nie tą obawą kierował się Sąd Najwyższy. W każdym razie Sąd nie odwołuj</w:t>
      </w:r>
      <w:r w:rsidR="00481C20">
        <w:rPr>
          <w:sz w:val="26"/>
          <w:szCs w:val="26"/>
        </w:rPr>
        <w:t>e</w:t>
      </w:r>
      <w:r w:rsidR="005E445F">
        <w:rPr>
          <w:sz w:val="26"/>
          <w:szCs w:val="26"/>
        </w:rPr>
        <w:t xml:space="preserve"> się</w:t>
      </w:r>
      <w:r w:rsidR="00E91EAF">
        <w:rPr>
          <w:sz w:val="26"/>
          <w:szCs w:val="26"/>
        </w:rPr>
        <w:t xml:space="preserve"> do nieprawidłowości w praktyce sądów powszechnych.</w:t>
      </w:r>
    </w:p>
    <w:p w:rsidR="007D2C47" w:rsidRDefault="00481C20" w:rsidP="00646A6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Po lekturze uzasadnienia </w:t>
      </w:r>
      <w:r w:rsidR="00E12434">
        <w:rPr>
          <w:sz w:val="26"/>
          <w:szCs w:val="26"/>
        </w:rPr>
        <w:t xml:space="preserve">wyroku </w:t>
      </w:r>
      <w:r>
        <w:rPr>
          <w:sz w:val="26"/>
          <w:szCs w:val="26"/>
        </w:rPr>
        <w:t>można</w:t>
      </w:r>
      <w:r w:rsidR="005E445F">
        <w:rPr>
          <w:sz w:val="26"/>
          <w:szCs w:val="26"/>
        </w:rPr>
        <w:t xml:space="preserve"> natomiast</w:t>
      </w:r>
      <w:r>
        <w:rPr>
          <w:sz w:val="26"/>
          <w:szCs w:val="26"/>
        </w:rPr>
        <w:t xml:space="preserve"> powiedzieć, że p</w:t>
      </w:r>
      <w:r w:rsidRPr="00481C20">
        <w:rPr>
          <w:sz w:val="26"/>
          <w:szCs w:val="26"/>
        </w:rPr>
        <w:t>rzyczyna sformułowania nieakceptowalnej tezy wynika z drugoplanowych „drobiazgów” (gdy chodzi o rozumienie art. 5 k.c.) oraz przede wszystkim ze sposobu rozumienia przez Sąd prawa do zachowku i przekonania o potrze</w:t>
      </w:r>
      <w:r w:rsidR="00090563">
        <w:rPr>
          <w:sz w:val="26"/>
          <w:szCs w:val="26"/>
        </w:rPr>
        <w:t>bie jego fundamentalnej obrony.</w:t>
      </w:r>
    </w:p>
    <w:p w:rsidR="00BE1476" w:rsidRDefault="00E465E5" w:rsidP="00646A6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Sąd Najwyższy poruszył w uzasadnieniu także inne kwestie. W tym w szczególności sprawę wymagalności zachowku. </w:t>
      </w:r>
      <w:r w:rsidR="00FF4EA7">
        <w:rPr>
          <w:sz w:val="26"/>
          <w:szCs w:val="26"/>
        </w:rPr>
        <w:t xml:space="preserve"> </w:t>
      </w:r>
      <w:r w:rsidR="00C82DF0">
        <w:rPr>
          <w:sz w:val="26"/>
          <w:szCs w:val="26"/>
        </w:rPr>
        <w:t>N</w:t>
      </w:r>
      <w:r w:rsidR="007B5A87">
        <w:rPr>
          <w:sz w:val="26"/>
          <w:szCs w:val="26"/>
        </w:rPr>
        <w:t xml:space="preserve">ie </w:t>
      </w:r>
      <w:r w:rsidR="00C82DF0">
        <w:rPr>
          <w:sz w:val="26"/>
          <w:szCs w:val="26"/>
        </w:rPr>
        <w:t>one</w:t>
      </w:r>
      <w:r w:rsidR="007B5A87">
        <w:rPr>
          <w:sz w:val="26"/>
          <w:szCs w:val="26"/>
        </w:rPr>
        <w:t xml:space="preserve"> (chociaż również ciekawe) skłaniają</w:t>
      </w:r>
      <w:r w:rsidR="009F53A5">
        <w:rPr>
          <w:sz w:val="26"/>
          <w:szCs w:val="26"/>
        </w:rPr>
        <w:t xml:space="preserve"> do</w:t>
      </w:r>
      <w:r w:rsidR="00C82DF0">
        <w:rPr>
          <w:sz w:val="26"/>
          <w:szCs w:val="26"/>
        </w:rPr>
        <w:t xml:space="preserve"> </w:t>
      </w:r>
      <w:r w:rsidR="007B5A87">
        <w:rPr>
          <w:sz w:val="26"/>
          <w:szCs w:val="26"/>
        </w:rPr>
        <w:t>napisania glosy i nie one będą w niej ana</w:t>
      </w:r>
      <w:r w:rsidR="00ED615B">
        <w:rPr>
          <w:sz w:val="26"/>
          <w:szCs w:val="26"/>
        </w:rPr>
        <w:t>lizowane. Rozważania poświęcone zostaną</w:t>
      </w:r>
      <w:r w:rsidR="007B5A87">
        <w:rPr>
          <w:sz w:val="26"/>
          <w:szCs w:val="26"/>
        </w:rPr>
        <w:t xml:space="preserve"> centralnej (sformułowanej w tezie) kwestii dopuszczalności lub niedopuszczalności stosowania art.</w:t>
      </w:r>
      <w:r w:rsidR="009F53A5">
        <w:rPr>
          <w:sz w:val="26"/>
          <w:szCs w:val="26"/>
        </w:rPr>
        <w:t xml:space="preserve"> </w:t>
      </w:r>
      <w:r w:rsidR="007B5A87">
        <w:rPr>
          <w:sz w:val="26"/>
          <w:szCs w:val="26"/>
        </w:rPr>
        <w:t xml:space="preserve">5 k.c. dla oddalenia żądania zachowku. A w zasadzie trzeba już w tym miejscu </w:t>
      </w:r>
      <w:r w:rsidR="00481C20">
        <w:rPr>
          <w:sz w:val="26"/>
          <w:szCs w:val="26"/>
        </w:rPr>
        <w:t xml:space="preserve">zdecydowanie </w:t>
      </w:r>
      <w:r w:rsidR="007B5A87">
        <w:rPr>
          <w:sz w:val="26"/>
          <w:szCs w:val="26"/>
        </w:rPr>
        <w:t xml:space="preserve">przesądzić: ewidentnej </w:t>
      </w:r>
      <w:r w:rsidR="007B5A87" w:rsidRPr="007D2C47">
        <w:rPr>
          <w:spacing w:val="80"/>
          <w:sz w:val="26"/>
          <w:szCs w:val="26"/>
        </w:rPr>
        <w:t xml:space="preserve">dopuszczalności </w:t>
      </w:r>
      <w:r w:rsidR="007B5A87">
        <w:rPr>
          <w:sz w:val="26"/>
          <w:szCs w:val="26"/>
        </w:rPr>
        <w:t>oceny żądania zachowku przez pryzmat art. 5 k.c.</w:t>
      </w:r>
      <w:r w:rsidR="00C82DF0">
        <w:rPr>
          <w:sz w:val="26"/>
          <w:szCs w:val="26"/>
        </w:rPr>
        <w:t xml:space="preserve"> </w:t>
      </w:r>
      <w:r w:rsidR="00FF4EA7">
        <w:rPr>
          <w:sz w:val="26"/>
          <w:szCs w:val="26"/>
        </w:rPr>
        <w:t xml:space="preserve"> </w:t>
      </w:r>
    </w:p>
    <w:p w:rsidR="009F53A5" w:rsidRDefault="009F53A5" w:rsidP="00646A69">
      <w:pPr>
        <w:jc w:val="both"/>
        <w:rPr>
          <w:sz w:val="26"/>
          <w:szCs w:val="26"/>
        </w:rPr>
      </w:pPr>
    </w:p>
    <w:p w:rsidR="00ED615B" w:rsidRDefault="009F53A5" w:rsidP="001819FB">
      <w:pPr>
        <w:jc w:val="both"/>
        <w:rPr>
          <w:sz w:val="26"/>
          <w:szCs w:val="26"/>
        </w:rPr>
      </w:pPr>
      <w:r w:rsidRPr="00ED615B">
        <w:rPr>
          <w:b/>
          <w:sz w:val="26"/>
          <w:szCs w:val="26"/>
        </w:rPr>
        <w:lastRenderedPageBreak/>
        <w:t>2.</w:t>
      </w:r>
      <w:r w:rsidR="00E12434" w:rsidRPr="00ED615B">
        <w:rPr>
          <w:b/>
          <w:sz w:val="26"/>
          <w:szCs w:val="26"/>
        </w:rPr>
        <w:tab/>
      </w:r>
      <w:r w:rsidR="00ED615B">
        <w:rPr>
          <w:sz w:val="26"/>
          <w:szCs w:val="26"/>
        </w:rPr>
        <w:t xml:space="preserve">Stan faktyczny sprawy był interesujący i „życiowo pouczający”, jednak jego </w:t>
      </w:r>
      <w:r w:rsidR="001819FB">
        <w:rPr>
          <w:sz w:val="26"/>
          <w:szCs w:val="26"/>
        </w:rPr>
        <w:t xml:space="preserve">szczegółowe </w:t>
      </w:r>
      <w:r w:rsidR="00ED615B">
        <w:rPr>
          <w:sz w:val="26"/>
          <w:szCs w:val="26"/>
        </w:rPr>
        <w:t xml:space="preserve">rekonstruowanie nie jest niezbędne dla rozważenia abstrakcyjnego </w:t>
      </w:r>
      <w:r w:rsidR="001819FB">
        <w:rPr>
          <w:sz w:val="26"/>
          <w:szCs w:val="26"/>
        </w:rPr>
        <w:t xml:space="preserve">ze swej istoty </w:t>
      </w:r>
      <w:r w:rsidR="00ED615B">
        <w:rPr>
          <w:sz w:val="26"/>
          <w:szCs w:val="26"/>
        </w:rPr>
        <w:t xml:space="preserve">zagadnienia </w:t>
      </w:r>
      <w:r w:rsidR="001819FB">
        <w:rPr>
          <w:sz w:val="26"/>
          <w:szCs w:val="26"/>
        </w:rPr>
        <w:t xml:space="preserve">(generalnej) </w:t>
      </w:r>
      <w:r w:rsidR="00ED615B">
        <w:rPr>
          <w:sz w:val="26"/>
          <w:szCs w:val="26"/>
        </w:rPr>
        <w:t xml:space="preserve">dopuszczalności stosowania konstrukcji nadużycia prawa do żądania zapłaty zachowku. </w:t>
      </w:r>
      <w:r w:rsidR="00B50A0D">
        <w:rPr>
          <w:sz w:val="26"/>
          <w:szCs w:val="26"/>
        </w:rPr>
        <w:t xml:space="preserve">Dość wspomnieć, że spadkodawca wydziedziczył swą jedyną córkę oraz jej dzieci </w:t>
      </w:r>
      <w:r w:rsidR="00230707">
        <w:rPr>
          <w:sz w:val="26"/>
          <w:szCs w:val="26"/>
        </w:rPr>
        <w:t>(</w:t>
      </w:r>
      <w:r w:rsidR="00B50A0D">
        <w:rPr>
          <w:sz w:val="26"/>
          <w:szCs w:val="26"/>
        </w:rPr>
        <w:t>dwójkę swoich wnuków</w:t>
      </w:r>
      <w:r w:rsidR="00230707">
        <w:rPr>
          <w:sz w:val="26"/>
          <w:szCs w:val="26"/>
        </w:rPr>
        <w:t>)</w:t>
      </w:r>
      <w:r w:rsidR="00B50A0D">
        <w:rPr>
          <w:sz w:val="26"/>
          <w:szCs w:val="26"/>
        </w:rPr>
        <w:t>. O ile wydziedziczenie córki sąd uznał za uzasadnione, o tyle wnuków już nie. One zatem stały się uprawnione do żądania zachowków.</w:t>
      </w:r>
    </w:p>
    <w:p w:rsidR="001819FB" w:rsidRPr="00A56DEA" w:rsidRDefault="00ED615B" w:rsidP="001819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230707">
        <w:rPr>
          <w:sz w:val="26"/>
          <w:szCs w:val="26"/>
        </w:rPr>
        <w:t xml:space="preserve"> kontekście stanu faktycznego w</w:t>
      </w:r>
      <w:r>
        <w:rPr>
          <w:sz w:val="26"/>
          <w:szCs w:val="26"/>
        </w:rPr>
        <w:t>ypada jedynie zauważyć, że</w:t>
      </w:r>
      <w:r w:rsidR="001819FB">
        <w:rPr>
          <w:sz w:val="26"/>
          <w:szCs w:val="26"/>
        </w:rPr>
        <w:t xml:space="preserve"> jego finalna</w:t>
      </w:r>
      <w:r>
        <w:rPr>
          <w:sz w:val="26"/>
          <w:szCs w:val="26"/>
        </w:rPr>
        <w:t xml:space="preserve"> ocena dokonana przez Sąd Najwyższy</w:t>
      </w:r>
      <w:r w:rsidR="005D7CE9">
        <w:rPr>
          <w:sz w:val="26"/>
          <w:szCs w:val="26"/>
        </w:rPr>
        <w:t xml:space="preserve"> w wyroku</w:t>
      </w:r>
      <w:r>
        <w:rPr>
          <w:sz w:val="26"/>
          <w:szCs w:val="26"/>
        </w:rPr>
        <w:t>, a wię</w:t>
      </w:r>
      <w:r w:rsidR="005D7CE9">
        <w:rPr>
          <w:sz w:val="26"/>
          <w:szCs w:val="26"/>
        </w:rPr>
        <w:t>c odmowa</w:t>
      </w:r>
      <w:r>
        <w:rPr>
          <w:sz w:val="26"/>
          <w:szCs w:val="26"/>
        </w:rPr>
        <w:t xml:space="preserve"> oddalenia żądania uprawnionych do zachowku </w:t>
      </w:r>
      <w:r w:rsidR="00B50A0D">
        <w:rPr>
          <w:sz w:val="26"/>
          <w:szCs w:val="26"/>
        </w:rPr>
        <w:t xml:space="preserve">wnuków </w:t>
      </w:r>
      <w:r>
        <w:rPr>
          <w:sz w:val="26"/>
          <w:szCs w:val="26"/>
        </w:rPr>
        <w:t>na podstawie art. 5 k.c., wydaje się być – w aktualnym stanie prawnym – prawidłowa</w:t>
      </w:r>
      <w:r w:rsidR="00C46553">
        <w:rPr>
          <w:sz w:val="26"/>
          <w:szCs w:val="26"/>
        </w:rPr>
        <w:t xml:space="preserve"> i</w:t>
      </w:r>
      <w:r>
        <w:rPr>
          <w:sz w:val="26"/>
          <w:szCs w:val="26"/>
        </w:rPr>
        <w:t xml:space="preserve"> </w:t>
      </w:r>
      <w:r w:rsidRPr="00C46553">
        <w:rPr>
          <w:i/>
          <w:sz w:val="26"/>
          <w:szCs w:val="26"/>
        </w:rPr>
        <w:t>in concreto</w:t>
      </w:r>
      <w:r>
        <w:rPr>
          <w:sz w:val="26"/>
          <w:szCs w:val="26"/>
        </w:rPr>
        <w:t xml:space="preserve"> uzasadniona. </w:t>
      </w:r>
      <w:r w:rsidR="007D2C47">
        <w:rPr>
          <w:sz w:val="26"/>
          <w:szCs w:val="26"/>
        </w:rPr>
        <w:t xml:space="preserve">Inna rzecz, że do tego </w:t>
      </w:r>
      <w:r w:rsidR="001819FB">
        <w:rPr>
          <w:sz w:val="26"/>
          <w:szCs w:val="26"/>
        </w:rPr>
        <w:t>słusznego rozstrzygnięcia Sąd Najwyższy doszedł zupełnie „na przełaj</w:t>
      </w:r>
      <w:r w:rsidR="00090563">
        <w:rPr>
          <w:sz w:val="26"/>
          <w:szCs w:val="26"/>
        </w:rPr>
        <w:t>”</w:t>
      </w:r>
      <w:r w:rsidR="001819FB">
        <w:rPr>
          <w:sz w:val="26"/>
          <w:szCs w:val="26"/>
        </w:rPr>
        <w:t xml:space="preserve">. Oddalenie winno być uzasadnione brakiem okoliczności nakazujących zastosowanie </w:t>
      </w:r>
      <w:r w:rsidR="001819FB" w:rsidRPr="00D83A69">
        <w:rPr>
          <w:i/>
          <w:sz w:val="26"/>
          <w:szCs w:val="26"/>
        </w:rPr>
        <w:t>in concreto</w:t>
      </w:r>
      <w:r w:rsidR="001819FB">
        <w:rPr>
          <w:sz w:val="26"/>
          <w:szCs w:val="26"/>
        </w:rPr>
        <w:t xml:space="preserve"> przepisu art. 5 k.c., nie zaś </w:t>
      </w:r>
      <w:r w:rsidR="007D2C47">
        <w:rPr>
          <w:sz w:val="26"/>
          <w:szCs w:val="26"/>
        </w:rPr>
        <w:t xml:space="preserve">- </w:t>
      </w:r>
      <w:r w:rsidR="001819FB">
        <w:rPr>
          <w:sz w:val="26"/>
          <w:szCs w:val="26"/>
        </w:rPr>
        <w:t>jak zrobił to Sąd Najwyższy</w:t>
      </w:r>
      <w:r w:rsidR="007D2C47">
        <w:rPr>
          <w:sz w:val="26"/>
          <w:szCs w:val="26"/>
        </w:rPr>
        <w:t xml:space="preserve"> -</w:t>
      </w:r>
      <w:r w:rsidR="001819FB">
        <w:rPr>
          <w:sz w:val="26"/>
          <w:szCs w:val="26"/>
        </w:rPr>
        <w:t xml:space="preserve"> generalną niedopuszczalnością stosowania konstrukcji nadużycia prawa dla podważenia roszczeń zachowkowych.  </w:t>
      </w:r>
    </w:p>
    <w:p w:rsidR="001819FB" w:rsidRDefault="001819FB" w:rsidP="001819FB">
      <w:pPr>
        <w:jc w:val="both"/>
        <w:rPr>
          <w:sz w:val="26"/>
          <w:szCs w:val="26"/>
        </w:rPr>
      </w:pPr>
    </w:p>
    <w:p w:rsidR="001819FB" w:rsidRDefault="001819FB" w:rsidP="001819FB">
      <w:pPr>
        <w:jc w:val="both"/>
        <w:rPr>
          <w:sz w:val="26"/>
          <w:szCs w:val="26"/>
        </w:rPr>
      </w:pPr>
      <w:r w:rsidRPr="001819FB">
        <w:rPr>
          <w:b/>
          <w:sz w:val="26"/>
          <w:szCs w:val="26"/>
        </w:rPr>
        <w:t>3.</w:t>
      </w:r>
      <w:r>
        <w:rPr>
          <w:sz w:val="26"/>
          <w:szCs w:val="26"/>
        </w:rPr>
        <w:tab/>
        <w:t xml:space="preserve">Sąd Najwyższy wskazuje na wysokie, gdyż konstytucyjne umocowanie ochrony zachowku w prawie polskim. W moim przekonaniu słusznie (chociaż rzecz jest sporna). Minimum dziedziczenia jakim jest zachowek </w:t>
      </w:r>
      <w:r w:rsidR="00090563">
        <w:rPr>
          <w:sz w:val="26"/>
          <w:szCs w:val="26"/>
        </w:rPr>
        <w:t>podlega ochronie w świetle art. 21 ust.</w:t>
      </w:r>
      <w:r w:rsidR="005C40C6">
        <w:rPr>
          <w:sz w:val="26"/>
          <w:szCs w:val="26"/>
        </w:rPr>
        <w:t xml:space="preserve"> </w:t>
      </w:r>
      <w:r w:rsidR="00090563">
        <w:rPr>
          <w:sz w:val="26"/>
          <w:szCs w:val="26"/>
        </w:rPr>
        <w:t xml:space="preserve">1 </w:t>
      </w:r>
      <w:r w:rsidR="005C40C6">
        <w:rPr>
          <w:sz w:val="26"/>
          <w:szCs w:val="26"/>
        </w:rPr>
        <w:t xml:space="preserve">oraz art. 64 </w:t>
      </w:r>
      <w:r>
        <w:rPr>
          <w:sz w:val="26"/>
          <w:szCs w:val="26"/>
        </w:rPr>
        <w:t>Konstytucji</w:t>
      </w:r>
      <w:r>
        <w:rPr>
          <w:rStyle w:val="Odwoanieprzypisudolnego"/>
          <w:sz w:val="26"/>
          <w:szCs w:val="26"/>
        </w:rPr>
        <w:footnoteReference w:id="6"/>
      </w:r>
      <w:r w:rsidR="005E445F">
        <w:rPr>
          <w:sz w:val="26"/>
          <w:szCs w:val="26"/>
        </w:rPr>
        <w:t>.</w:t>
      </w:r>
    </w:p>
    <w:p w:rsidR="005E445F" w:rsidRDefault="005E445F" w:rsidP="001819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Z</w:t>
      </w:r>
      <w:r w:rsidR="00E77FFE">
        <w:rPr>
          <w:sz w:val="26"/>
          <w:szCs w:val="26"/>
        </w:rPr>
        <w:t xml:space="preserve"> tego</w:t>
      </w:r>
      <w:r w:rsidR="00824DA4">
        <w:rPr>
          <w:sz w:val="26"/>
          <w:szCs w:val="26"/>
        </w:rPr>
        <w:t>, czyli z konstytucyjnych gwarancji dla zachowku,</w:t>
      </w:r>
      <w:r>
        <w:rPr>
          <w:sz w:val="26"/>
          <w:szCs w:val="26"/>
        </w:rPr>
        <w:t xml:space="preserve"> Sąd Najwyższy wycią</w:t>
      </w:r>
      <w:r w:rsidR="005E0F49">
        <w:rPr>
          <w:sz w:val="26"/>
          <w:szCs w:val="26"/>
        </w:rPr>
        <w:t>ga</w:t>
      </w:r>
      <w:r w:rsidR="00E77FFE">
        <w:rPr>
          <w:sz w:val="26"/>
          <w:szCs w:val="26"/>
        </w:rPr>
        <w:t xml:space="preserve"> dalszy</w:t>
      </w:r>
      <w:r w:rsidR="005E0F49">
        <w:rPr>
          <w:sz w:val="26"/>
          <w:szCs w:val="26"/>
        </w:rPr>
        <w:t xml:space="preserve"> </w:t>
      </w:r>
      <w:r w:rsidR="00E77FFE">
        <w:rPr>
          <w:sz w:val="26"/>
          <w:szCs w:val="26"/>
        </w:rPr>
        <w:t>wniosek o dopuszczalności ograniczenia</w:t>
      </w:r>
      <w:r>
        <w:rPr>
          <w:sz w:val="26"/>
          <w:szCs w:val="26"/>
        </w:rPr>
        <w:t xml:space="preserve"> prawa do zachowku wyłącznie w przypadku wyraźnie uregulowanego </w:t>
      </w:r>
      <w:r w:rsidR="005E0F49">
        <w:rPr>
          <w:sz w:val="26"/>
          <w:szCs w:val="26"/>
        </w:rPr>
        <w:t>„</w:t>
      </w:r>
      <w:r>
        <w:rPr>
          <w:sz w:val="26"/>
          <w:szCs w:val="26"/>
        </w:rPr>
        <w:t>wydziedziczenia</w:t>
      </w:r>
      <w:r w:rsidR="005E0F49">
        <w:rPr>
          <w:sz w:val="26"/>
          <w:szCs w:val="26"/>
        </w:rPr>
        <w:t>”</w:t>
      </w:r>
      <w:r w:rsidR="00090563">
        <w:rPr>
          <w:sz w:val="26"/>
          <w:szCs w:val="26"/>
        </w:rPr>
        <w:t xml:space="preserve"> (art. 928</w:t>
      </w:r>
      <w:r w:rsidR="00824DA4">
        <w:rPr>
          <w:sz w:val="26"/>
          <w:szCs w:val="26"/>
        </w:rPr>
        <w:t xml:space="preserve"> </w:t>
      </w:r>
      <w:r>
        <w:rPr>
          <w:sz w:val="26"/>
          <w:szCs w:val="26"/>
        </w:rPr>
        <w:t>k.c. i n.) oraz ró</w:t>
      </w:r>
      <w:r w:rsidR="00893B05">
        <w:rPr>
          <w:sz w:val="26"/>
          <w:szCs w:val="26"/>
        </w:rPr>
        <w:t>wnie precyzyjnie</w:t>
      </w:r>
      <w:r>
        <w:rPr>
          <w:sz w:val="26"/>
          <w:szCs w:val="26"/>
        </w:rPr>
        <w:t xml:space="preserve"> określonego przypadku </w:t>
      </w:r>
      <w:r w:rsidR="005E0F49">
        <w:rPr>
          <w:sz w:val="26"/>
          <w:szCs w:val="26"/>
        </w:rPr>
        <w:t>„</w:t>
      </w:r>
      <w:r>
        <w:rPr>
          <w:sz w:val="26"/>
          <w:szCs w:val="26"/>
        </w:rPr>
        <w:t>niegodności dziedziczenia</w:t>
      </w:r>
      <w:r w:rsidR="005E0F49">
        <w:rPr>
          <w:sz w:val="26"/>
          <w:szCs w:val="26"/>
        </w:rPr>
        <w:t>”</w:t>
      </w:r>
      <w:r w:rsidR="00090563">
        <w:rPr>
          <w:sz w:val="26"/>
          <w:szCs w:val="26"/>
        </w:rPr>
        <w:t xml:space="preserve"> (art. 1008 </w:t>
      </w:r>
      <w:r>
        <w:rPr>
          <w:sz w:val="26"/>
          <w:szCs w:val="26"/>
        </w:rPr>
        <w:t>k.c.)</w:t>
      </w:r>
      <w:r w:rsidR="00824DA4">
        <w:rPr>
          <w:rStyle w:val="Odwoanieprzypisudolnego"/>
          <w:sz w:val="26"/>
          <w:szCs w:val="26"/>
        </w:rPr>
        <w:footnoteReference w:id="7"/>
      </w:r>
      <w:r w:rsidR="00136FEB">
        <w:rPr>
          <w:sz w:val="26"/>
          <w:szCs w:val="26"/>
        </w:rPr>
        <w:t xml:space="preserve">. </w:t>
      </w:r>
      <w:r w:rsidR="002D658A">
        <w:rPr>
          <w:sz w:val="26"/>
          <w:szCs w:val="26"/>
        </w:rPr>
        <w:t xml:space="preserve">Obie normy mają być </w:t>
      </w:r>
      <w:r w:rsidR="00893B05">
        <w:rPr>
          <w:sz w:val="26"/>
          <w:szCs w:val="26"/>
        </w:rPr>
        <w:t>„</w:t>
      </w:r>
      <w:r w:rsidR="00E77FFE">
        <w:rPr>
          <w:sz w:val="26"/>
          <w:szCs w:val="26"/>
        </w:rPr>
        <w:t>ścisłymi</w:t>
      </w:r>
      <w:r w:rsidR="00893B05">
        <w:rPr>
          <w:sz w:val="26"/>
          <w:szCs w:val="26"/>
        </w:rPr>
        <w:t>”</w:t>
      </w:r>
      <w:r w:rsidR="00E77FFE">
        <w:rPr>
          <w:sz w:val="26"/>
          <w:szCs w:val="26"/>
        </w:rPr>
        <w:t xml:space="preserve"> </w:t>
      </w:r>
      <w:r w:rsidR="002D658A">
        <w:rPr>
          <w:sz w:val="26"/>
          <w:szCs w:val="26"/>
        </w:rPr>
        <w:t>wyjątkami od konstytucyjnej reguły ochrony zachowku</w:t>
      </w:r>
      <w:r w:rsidR="00E77FFE">
        <w:rPr>
          <w:sz w:val="26"/>
          <w:szCs w:val="26"/>
        </w:rPr>
        <w:t>. Z tego z kolei</w:t>
      </w:r>
      <w:r w:rsidR="00893B05">
        <w:rPr>
          <w:sz w:val="26"/>
          <w:szCs w:val="26"/>
        </w:rPr>
        <w:t>,</w:t>
      </w:r>
      <w:r w:rsidR="00E77FFE">
        <w:rPr>
          <w:sz w:val="26"/>
          <w:szCs w:val="26"/>
        </w:rPr>
        <w:t xml:space="preserve"> Są</w:t>
      </w:r>
      <w:r w:rsidR="00893B05">
        <w:rPr>
          <w:sz w:val="26"/>
          <w:szCs w:val="26"/>
        </w:rPr>
        <w:t>d wyprowadza</w:t>
      </w:r>
      <w:r w:rsidR="00E77FFE">
        <w:rPr>
          <w:sz w:val="26"/>
          <w:szCs w:val="26"/>
        </w:rPr>
        <w:t xml:space="preserve"> dalszy wniosek, już zupełnie nieakceptowalny, jakoby</w:t>
      </w:r>
      <w:r w:rsidR="002D658A">
        <w:rPr>
          <w:sz w:val="26"/>
          <w:szCs w:val="26"/>
        </w:rPr>
        <w:t xml:space="preserve"> niedopuszczalne był</w:t>
      </w:r>
      <w:r w:rsidR="00E77FFE">
        <w:rPr>
          <w:sz w:val="26"/>
          <w:szCs w:val="26"/>
        </w:rPr>
        <w:t>o</w:t>
      </w:r>
      <w:r w:rsidR="005B1767">
        <w:rPr>
          <w:sz w:val="26"/>
          <w:szCs w:val="26"/>
        </w:rPr>
        <w:t>,</w:t>
      </w:r>
      <w:r w:rsidR="002D658A">
        <w:rPr>
          <w:sz w:val="26"/>
          <w:szCs w:val="26"/>
        </w:rPr>
        <w:t xml:space="preserve"> tworzenie </w:t>
      </w:r>
      <w:r w:rsidR="00893B05">
        <w:rPr>
          <w:sz w:val="26"/>
          <w:szCs w:val="26"/>
        </w:rPr>
        <w:t>(</w:t>
      </w:r>
      <w:r w:rsidR="002D658A">
        <w:rPr>
          <w:sz w:val="26"/>
          <w:szCs w:val="26"/>
        </w:rPr>
        <w:t>obok tego</w:t>
      </w:r>
      <w:r w:rsidR="00893B05">
        <w:rPr>
          <w:sz w:val="26"/>
          <w:szCs w:val="26"/>
        </w:rPr>
        <w:t>)</w:t>
      </w:r>
      <w:r w:rsidR="002D658A">
        <w:rPr>
          <w:sz w:val="26"/>
          <w:szCs w:val="26"/>
        </w:rPr>
        <w:t xml:space="preserve"> jeszcze jednego wyjątku w postaci dopuszczalności zastosowania art. 5 k.c. Oba przepisy (tj. zarówno ten dotyczący wydziedziczenia, jak i ten o niegodności)</w:t>
      </w:r>
      <w:r w:rsidR="00893B05">
        <w:rPr>
          <w:sz w:val="26"/>
          <w:szCs w:val="26"/>
        </w:rPr>
        <w:t xml:space="preserve"> mają być</w:t>
      </w:r>
      <w:r w:rsidR="002D658A">
        <w:rPr>
          <w:sz w:val="26"/>
          <w:szCs w:val="26"/>
        </w:rPr>
        <w:t xml:space="preserve"> bowiem </w:t>
      </w:r>
      <w:r w:rsidR="002D658A" w:rsidRPr="002D658A">
        <w:rPr>
          <w:i/>
          <w:sz w:val="26"/>
          <w:szCs w:val="26"/>
        </w:rPr>
        <w:t>lex specialis</w:t>
      </w:r>
      <w:r w:rsidR="002D658A">
        <w:rPr>
          <w:sz w:val="26"/>
          <w:szCs w:val="26"/>
        </w:rPr>
        <w:t xml:space="preserve"> wobec art. 5 k.c. </w:t>
      </w:r>
      <w:r w:rsidR="00E77FFE">
        <w:rPr>
          <w:sz w:val="26"/>
          <w:szCs w:val="26"/>
        </w:rPr>
        <w:t>i wykluczają</w:t>
      </w:r>
      <w:r w:rsidR="00893B05">
        <w:rPr>
          <w:sz w:val="26"/>
          <w:szCs w:val="26"/>
        </w:rPr>
        <w:t xml:space="preserve"> w związku z tym</w:t>
      </w:r>
      <w:r w:rsidR="00E77FFE">
        <w:rPr>
          <w:sz w:val="26"/>
          <w:szCs w:val="26"/>
        </w:rPr>
        <w:t xml:space="preserve"> jego stosowanie do zachowku. </w:t>
      </w:r>
    </w:p>
    <w:p w:rsidR="005B350C" w:rsidRDefault="002D658A" w:rsidP="001819F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Z wielu powodów</w:t>
      </w:r>
      <w:r w:rsidR="00E77FFE">
        <w:rPr>
          <w:sz w:val="26"/>
          <w:szCs w:val="26"/>
        </w:rPr>
        <w:t xml:space="preserve"> z tym ostatnim etapem wnioskowania Sądu Najwyższego</w:t>
      </w:r>
      <w:r w:rsidR="00893B05">
        <w:rPr>
          <w:sz w:val="26"/>
          <w:szCs w:val="26"/>
        </w:rPr>
        <w:t xml:space="preserve"> zgodzić się nie można</w:t>
      </w:r>
      <w:r>
        <w:rPr>
          <w:sz w:val="26"/>
          <w:szCs w:val="26"/>
        </w:rPr>
        <w:t xml:space="preserve">. </w:t>
      </w:r>
    </w:p>
    <w:p w:rsidR="005B350C" w:rsidRDefault="002D658A" w:rsidP="005B35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 ile moż</w:t>
      </w:r>
      <w:r w:rsidR="00893B05">
        <w:rPr>
          <w:sz w:val="26"/>
          <w:szCs w:val="26"/>
        </w:rPr>
        <w:t>na podzielić przekonanie</w:t>
      </w:r>
      <w:r>
        <w:rPr>
          <w:sz w:val="26"/>
          <w:szCs w:val="26"/>
        </w:rPr>
        <w:t>, że ustawodawca niechętnie ogranicza zachowek</w:t>
      </w:r>
      <w:r w:rsidR="007D2C47">
        <w:rPr>
          <w:sz w:val="26"/>
          <w:szCs w:val="26"/>
        </w:rPr>
        <w:t xml:space="preserve"> (o czym będzie jeszcze mowa)</w:t>
      </w:r>
      <w:r>
        <w:rPr>
          <w:sz w:val="26"/>
          <w:szCs w:val="26"/>
        </w:rPr>
        <w:t xml:space="preserve"> i w tym zakresie stworzył jedynie dwie normy pozwalające na </w:t>
      </w:r>
      <w:r w:rsidRPr="007D2C47">
        <w:rPr>
          <w:spacing w:val="80"/>
          <w:sz w:val="26"/>
          <w:szCs w:val="26"/>
        </w:rPr>
        <w:t>definitywne</w:t>
      </w:r>
      <w:r>
        <w:rPr>
          <w:sz w:val="26"/>
          <w:szCs w:val="26"/>
        </w:rPr>
        <w:t xml:space="preserve"> pozbawienie uprawnionego członka rodzinny jego prawa do zachowku</w:t>
      </w:r>
      <w:r w:rsidR="005B1767">
        <w:rPr>
          <w:sz w:val="26"/>
          <w:szCs w:val="26"/>
        </w:rPr>
        <w:t xml:space="preserve">, o tyle rzekomego wykluczenia konstrukcji nadużycia prawa z powodu istnienia </w:t>
      </w:r>
      <w:r w:rsidR="005B1767" w:rsidRPr="005B1767">
        <w:rPr>
          <w:i/>
          <w:sz w:val="26"/>
          <w:szCs w:val="26"/>
        </w:rPr>
        <w:t>lex specialis</w:t>
      </w:r>
      <w:r w:rsidR="00090563">
        <w:rPr>
          <w:sz w:val="26"/>
          <w:szCs w:val="26"/>
        </w:rPr>
        <w:t xml:space="preserve"> dopatrzy</w:t>
      </w:r>
      <w:r w:rsidR="005B350C">
        <w:rPr>
          <w:sz w:val="26"/>
          <w:szCs w:val="26"/>
        </w:rPr>
        <w:t>ć się</w:t>
      </w:r>
      <w:r w:rsidR="005B1767">
        <w:rPr>
          <w:sz w:val="26"/>
          <w:szCs w:val="26"/>
        </w:rPr>
        <w:t xml:space="preserve"> nie sposób. </w:t>
      </w:r>
    </w:p>
    <w:p w:rsidR="002D658A" w:rsidRDefault="007D2C47" w:rsidP="00E367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Nie miejsce tu na szerokie, teoretyczne analizowanie zagadnienia </w:t>
      </w:r>
      <w:r w:rsidRPr="007D2C47">
        <w:rPr>
          <w:i/>
          <w:sz w:val="26"/>
          <w:szCs w:val="26"/>
        </w:rPr>
        <w:t>lex specialis</w:t>
      </w:r>
      <w:r>
        <w:rPr>
          <w:sz w:val="26"/>
          <w:szCs w:val="26"/>
        </w:rPr>
        <w:t>. W tym zakresie odesłać należy do piśmiennictwa</w:t>
      </w:r>
      <w:r w:rsidR="00E3670F">
        <w:rPr>
          <w:rStyle w:val="Odwoanieprzypisudolnego"/>
          <w:sz w:val="26"/>
          <w:szCs w:val="26"/>
        </w:rPr>
        <w:footnoteReference w:id="8"/>
      </w:r>
      <w:r w:rsidR="00E3670F">
        <w:rPr>
          <w:sz w:val="26"/>
          <w:szCs w:val="26"/>
        </w:rPr>
        <w:t>. Zdecydowanie przesądzić natomiast trzeba, że nie sposób</w:t>
      </w:r>
      <w:r w:rsidR="005B1767">
        <w:rPr>
          <w:sz w:val="26"/>
          <w:szCs w:val="26"/>
        </w:rPr>
        <w:t xml:space="preserve"> mówić o </w:t>
      </w:r>
      <w:r w:rsidR="005B1767" w:rsidRPr="005B1767">
        <w:rPr>
          <w:i/>
          <w:sz w:val="26"/>
          <w:szCs w:val="26"/>
        </w:rPr>
        <w:t>lex specialis</w:t>
      </w:r>
      <w:r w:rsidR="005B1767">
        <w:rPr>
          <w:sz w:val="26"/>
          <w:szCs w:val="26"/>
        </w:rPr>
        <w:t xml:space="preserve"> w sytuacji, w której art. 5 k.c. dotyczy wyłącznie </w:t>
      </w:r>
      <w:r w:rsidR="005B1767" w:rsidRPr="00090563">
        <w:rPr>
          <w:spacing w:val="80"/>
          <w:sz w:val="26"/>
          <w:szCs w:val="26"/>
        </w:rPr>
        <w:t>wykonywania</w:t>
      </w:r>
      <w:r w:rsidR="005B1767">
        <w:rPr>
          <w:sz w:val="26"/>
          <w:szCs w:val="26"/>
        </w:rPr>
        <w:t xml:space="preserve"> prawa i </w:t>
      </w:r>
      <w:r w:rsidR="00E3670F">
        <w:rPr>
          <w:sz w:val="26"/>
          <w:szCs w:val="26"/>
        </w:rPr>
        <w:t>jego zastosowanie nie może prowadzić do</w:t>
      </w:r>
      <w:r w:rsidR="005B1767">
        <w:rPr>
          <w:sz w:val="26"/>
          <w:szCs w:val="26"/>
        </w:rPr>
        <w:t xml:space="preserve"> utraty</w:t>
      </w:r>
      <w:r w:rsidR="00E3670F">
        <w:rPr>
          <w:sz w:val="26"/>
          <w:szCs w:val="26"/>
        </w:rPr>
        <w:t xml:space="preserve"> tego prawa</w:t>
      </w:r>
      <w:r w:rsidR="005B1767">
        <w:rPr>
          <w:sz w:val="26"/>
          <w:szCs w:val="26"/>
        </w:rPr>
        <w:t xml:space="preserve">, zaś </w:t>
      </w:r>
      <w:r w:rsidR="00E3670F">
        <w:rPr>
          <w:sz w:val="26"/>
          <w:szCs w:val="26"/>
        </w:rPr>
        <w:t>„</w:t>
      </w:r>
      <w:r w:rsidR="005B1767">
        <w:rPr>
          <w:sz w:val="26"/>
          <w:szCs w:val="26"/>
        </w:rPr>
        <w:t>wydziedziczenie</w:t>
      </w:r>
      <w:r w:rsidR="00E3670F">
        <w:rPr>
          <w:sz w:val="26"/>
          <w:szCs w:val="26"/>
        </w:rPr>
        <w:t>”</w:t>
      </w:r>
      <w:r w:rsidR="005B1767">
        <w:rPr>
          <w:sz w:val="26"/>
          <w:szCs w:val="26"/>
        </w:rPr>
        <w:t xml:space="preserve"> oraz </w:t>
      </w:r>
      <w:r w:rsidR="00E3670F">
        <w:rPr>
          <w:sz w:val="26"/>
          <w:szCs w:val="26"/>
        </w:rPr>
        <w:t>„</w:t>
      </w:r>
      <w:r w:rsidR="005B1767">
        <w:rPr>
          <w:sz w:val="26"/>
          <w:szCs w:val="26"/>
        </w:rPr>
        <w:t>niegodność</w:t>
      </w:r>
      <w:r w:rsidR="00E3670F">
        <w:rPr>
          <w:sz w:val="26"/>
          <w:szCs w:val="26"/>
        </w:rPr>
        <w:t xml:space="preserve"> dziedziczenia”</w:t>
      </w:r>
      <w:r w:rsidR="005B1767">
        <w:rPr>
          <w:sz w:val="26"/>
          <w:szCs w:val="26"/>
        </w:rPr>
        <w:t xml:space="preserve"> to regulacje nieskierowane na „wykonywanie” ale </w:t>
      </w:r>
      <w:r w:rsidR="008424B1">
        <w:rPr>
          <w:sz w:val="26"/>
          <w:szCs w:val="26"/>
        </w:rPr>
        <w:t xml:space="preserve"> </w:t>
      </w:r>
      <w:r w:rsidR="005B1767" w:rsidRPr="00090563">
        <w:rPr>
          <w:spacing w:val="80"/>
          <w:sz w:val="26"/>
          <w:szCs w:val="26"/>
        </w:rPr>
        <w:t xml:space="preserve">pozbawiające </w:t>
      </w:r>
      <w:r w:rsidR="005B1767">
        <w:rPr>
          <w:sz w:val="26"/>
          <w:szCs w:val="26"/>
        </w:rPr>
        <w:t xml:space="preserve">samego prawa. </w:t>
      </w:r>
    </w:p>
    <w:p w:rsidR="00E3670F" w:rsidRDefault="00E3670F" w:rsidP="00E367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Już ta obserwacja wskazuje, że chodzi o innego rodzaju instrumenty prawne nawet jeżeli łączące się poprzez negatywną ocenę moralną (sprzeczność z zasadami współżycia społecznego) i pozostające w pewnych zależnościach. </w:t>
      </w:r>
    </w:p>
    <w:p w:rsidR="001819FB" w:rsidRDefault="00E3670F" w:rsidP="00E367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 pewnością natomiast brak tu klasyczne</w:t>
      </w:r>
      <w:r w:rsidR="00090563">
        <w:rPr>
          <w:sz w:val="26"/>
          <w:szCs w:val="26"/>
        </w:rPr>
        <w:t xml:space="preserve">j relacji „zawierania się” art. 928 k.c.  (wydziedziczenie) i art. 1008 k.c. </w:t>
      </w:r>
      <w:r>
        <w:rPr>
          <w:sz w:val="26"/>
          <w:szCs w:val="26"/>
        </w:rPr>
        <w:t xml:space="preserve">(niegodność dziedziczenia) w przestrzeni artykułu 5 k.c., która mogłaby prowadzić do wniosku, że prawodawca polski nie chciał stosowania konstrukcji nadużycia prawa (w jej kształcie określonym w </w:t>
      </w:r>
      <w:r w:rsidR="00090563">
        <w:rPr>
          <w:sz w:val="26"/>
          <w:szCs w:val="26"/>
        </w:rPr>
        <w:t>przepisie artykułu</w:t>
      </w:r>
      <w:r>
        <w:rPr>
          <w:sz w:val="26"/>
          <w:szCs w:val="26"/>
        </w:rPr>
        <w:t xml:space="preserve"> 5 k.c.)</w:t>
      </w:r>
      <w:r w:rsidR="00090563">
        <w:rPr>
          <w:sz w:val="26"/>
          <w:szCs w:val="26"/>
        </w:rPr>
        <w:t xml:space="preserve"> na obszarze prawa do zachowku</w:t>
      </w:r>
      <w:r>
        <w:rPr>
          <w:sz w:val="26"/>
          <w:szCs w:val="26"/>
        </w:rPr>
        <w:t xml:space="preserve"> i </w:t>
      </w:r>
      <w:r w:rsidR="00090563">
        <w:rPr>
          <w:sz w:val="26"/>
          <w:szCs w:val="26"/>
        </w:rPr>
        <w:t xml:space="preserve">właśnie dlatego </w:t>
      </w:r>
      <w:r>
        <w:rPr>
          <w:sz w:val="26"/>
          <w:szCs w:val="26"/>
        </w:rPr>
        <w:t>stworzył „regulację wyłączającą” w postaci konstrukcji wydziedziczenia oraz (ew</w:t>
      </w:r>
      <w:r w:rsidR="00090563">
        <w:rPr>
          <w:sz w:val="26"/>
          <w:szCs w:val="26"/>
        </w:rPr>
        <w:t>entualnie) w postaci figury</w:t>
      </w:r>
      <w:r>
        <w:rPr>
          <w:sz w:val="26"/>
          <w:szCs w:val="26"/>
        </w:rPr>
        <w:t xml:space="preserve"> niegodności dziedziczenia.   </w:t>
      </w:r>
    </w:p>
    <w:p w:rsidR="005F2D6E" w:rsidRDefault="005F2D6E" w:rsidP="00E367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</w:t>
      </w:r>
      <w:r w:rsidR="001E7027">
        <w:rPr>
          <w:sz w:val="26"/>
          <w:szCs w:val="26"/>
        </w:rPr>
        <w:t xml:space="preserve">genezę </w:t>
      </w:r>
      <w:r>
        <w:rPr>
          <w:sz w:val="26"/>
          <w:szCs w:val="26"/>
        </w:rPr>
        <w:t>relacj</w:t>
      </w:r>
      <w:r w:rsidR="001E7027">
        <w:rPr>
          <w:sz w:val="26"/>
          <w:szCs w:val="26"/>
        </w:rPr>
        <w:t>i</w:t>
      </w:r>
      <w:r>
        <w:rPr>
          <w:sz w:val="26"/>
          <w:szCs w:val="26"/>
        </w:rPr>
        <w:t xml:space="preserve"> pomiędzy przepisem art. 5 k.c. a </w:t>
      </w:r>
      <w:r w:rsidR="00FA7B88">
        <w:rPr>
          <w:sz w:val="26"/>
          <w:szCs w:val="26"/>
        </w:rPr>
        <w:t>„</w:t>
      </w:r>
      <w:r>
        <w:rPr>
          <w:sz w:val="26"/>
          <w:szCs w:val="26"/>
        </w:rPr>
        <w:t>wydziedziczeniem</w:t>
      </w:r>
      <w:r w:rsidR="00C814A5">
        <w:rPr>
          <w:sz w:val="26"/>
          <w:szCs w:val="26"/>
        </w:rPr>
        <w:t>”</w:t>
      </w:r>
      <w:r>
        <w:rPr>
          <w:sz w:val="26"/>
          <w:szCs w:val="26"/>
        </w:rPr>
        <w:t xml:space="preserve"> oraz </w:t>
      </w:r>
      <w:r w:rsidR="00C814A5">
        <w:rPr>
          <w:sz w:val="26"/>
          <w:szCs w:val="26"/>
        </w:rPr>
        <w:t>„</w:t>
      </w:r>
      <w:r>
        <w:rPr>
          <w:sz w:val="26"/>
          <w:szCs w:val="26"/>
        </w:rPr>
        <w:t>niegodnością</w:t>
      </w:r>
      <w:r w:rsidR="00FA7B88">
        <w:rPr>
          <w:sz w:val="26"/>
          <w:szCs w:val="26"/>
        </w:rPr>
        <w:t xml:space="preserve"> dziedziczenia</w:t>
      </w:r>
      <w:r w:rsidR="00C814A5">
        <w:rPr>
          <w:sz w:val="26"/>
          <w:szCs w:val="26"/>
        </w:rPr>
        <w:t>”</w:t>
      </w:r>
      <w:r w:rsidR="00FA7B88">
        <w:rPr>
          <w:sz w:val="26"/>
          <w:szCs w:val="26"/>
        </w:rPr>
        <w:t xml:space="preserve"> warto dodatkowo</w:t>
      </w:r>
      <w:r>
        <w:rPr>
          <w:sz w:val="26"/>
          <w:szCs w:val="26"/>
        </w:rPr>
        <w:t xml:space="preserve"> spojrzeć z „odwrotnej strony”. Otóż, rzecz uwypukla się jesz</w:t>
      </w:r>
      <w:r w:rsidR="001C62B8">
        <w:rPr>
          <w:sz w:val="26"/>
          <w:szCs w:val="26"/>
        </w:rPr>
        <w:t>cze mocniej</w:t>
      </w:r>
      <w:r>
        <w:rPr>
          <w:sz w:val="26"/>
          <w:szCs w:val="26"/>
        </w:rPr>
        <w:t xml:space="preserve"> gdy dostrzec to, że prawodawca zdając sobie sprawę z ograniczeń konstrukcji nadużycia prawa (której zastosowanie nie może trwale pozbawiać prawa) i dostrzegając jednocześnie potrzebę trwałego/definitywnego pozbawienia prawa do zachowku stworzył </w:t>
      </w:r>
      <w:r w:rsidRPr="005F2D6E">
        <w:rPr>
          <w:spacing w:val="80"/>
          <w:sz w:val="26"/>
          <w:szCs w:val="26"/>
        </w:rPr>
        <w:t>obok</w:t>
      </w:r>
      <w:r>
        <w:rPr>
          <w:sz w:val="26"/>
          <w:szCs w:val="26"/>
        </w:rPr>
        <w:t xml:space="preserve"> możliwości </w:t>
      </w:r>
      <w:r w:rsidRPr="001E7027">
        <w:rPr>
          <w:spacing w:val="80"/>
          <w:sz w:val="26"/>
          <w:szCs w:val="26"/>
        </w:rPr>
        <w:t>przejściowego</w:t>
      </w:r>
      <w:r>
        <w:rPr>
          <w:sz w:val="26"/>
          <w:szCs w:val="26"/>
        </w:rPr>
        <w:t xml:space="preserve"> oddalenia żądania (na podstawie art. 5 k.c.) takż</w:t>
      </w:r>
      <w:r w:rsidR="001C62B8">
        <w:rPr>
          <w:sz w:val="26"/>
          <w:szCs w:val="26"/>
        </w:rPr>
        <w:t>e możliw</w:t>
      </w:r>
      <w:r>
        <w:rPr>
          <w:sz w:val="26"/>
          <w:szCs w:val="26"/>
        </w:rPr>
        <w:t xml:space="preserve">ość </w:t>
      </w:r>
      <w:r w:rsidRPr="005F2D6E">
        <w:rPr>
          <w:spacing w:val="80"/>
          <w:sz w:val="26"/>
          <w:szCs w:val="26"/>
        </w:rPr>
        <w:t>trwałego</w:t>
      </w:r>
      <w:r>
        <w:rPr>
          <w:sz w:val="26"/>
          <w:szCs w:val="26"/>
        </w:rPr>
        <w:t xml:space="preserve"> pozbawienia prawa (w postaci</w:t>
      </w:r>
      <w:r w:rsidR="001C62B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1C62B8">
        <w:rPr>
          <w:sz w:val="26"/>
          <w:szCs w:val="26"/>
        </w:rPr>
        <w:t>„</w:t>
      </w:r>
      <w:r>
        <w:rPr>
          <w:sz w:val="26"/>
          <w:szCs w:val="26"/>
        </w:rPr>
        <w:t>wydziedziczenia</w:t>
      </w:r>
      <w:r w:rsidR="001C62B8">
        <w:rPr>
          <w:sz w:val="26"/>
          <w:szCs w:val="26"/>
        </w:rPr>
        <w:t>”</w:t>
      </w:r>
      <w:r>
        <w:rPr>
          <w:sz w:val="26"/>
          <w:szCs w:val="26"/>
        </w:rPr>
        <w:t xml:space="preserve"> oraz </w:t>
      </w:r>
      <w:r w:rsidR="001C62B8">
        <w:rPr>
          <w:sz w:val="26"/>
          <w:szCs w:val="26"/>
        </w:rPr>
        <w:t>„</w:t>
      </w:r>
      <w:r>
        <w:rPr>
          <w:sz w:val="26"/>
          <w:szCs w:val="26"/>
        </w:rPr>
        <w:t>niegodności dziedziczenia</w:t>
      </w:r>
      <w:r w:rsidR="001C62B8">
        <w:rPr>
          <w:sz w:val="26"/>
          <w:szCs w:val="26"/>
        </w:rPr>
        <w:t>”</w:t>
      </w:r>
      <w:r>
        <w:rPr>
          <w:sz w:val="26"/>
          <w:szCs w:val="26"/>
        </w:rPr>
        <w:t xml:space="preserve">). </w:t>
      </w:r>
      <w:r w:rsidR="001C62B8">
        <w:rPr>
          <w:sz w:val="26"/>
          <w:szCs w:val="26"/>
        </w:rPr>
        <w:t xml:space="preserve">W ten sposób „rozszerzył katalog możliwości” a nie zawężył go. Że jest to „obok” a nie „zamiast” wystarczy wskazać chociażby różne przesłanki i okoliczności zastosowania przepisów. </w:t>
      </w:r>
      <w:r w:rsidR="001E7027">
        <w:rPr>
          <w:sz w:val="26"/>
          <w:szCs w:val="26"/>
        </w:rPr>
        <w:t xml:space="preserve">I tak, jeśli dojdzie do skutecznego wydziedziczenia </w:t>
      </w:r>
      <w:r w:rsidR="00C814A5">
        <w:rPr>
          <w:sz w:val="26"/>
          <w:szCs w:val="26"/>
        </w:rPr>
        <w:t xml:space="preserve">w ogóle </w:t>
      </w:r>
      <w:r w:rsidR="001E7027">
        <w:rPr>
          <w:sz w:val="26"/>
          <w:szCs w:val="26"/>
        </w:rPr>
        <w:t xml:space="preserve">nie pojawia się </w:t>
      </w:r>
      <w:r w:rsidR="00C814A5">
        <w:rPr>
          <w:sz w:val="26"/>
          <w:szCs w:val="26"/>
        </w:rPr>
        <w:t xml:space="preserve">podstawowa </w:t>
      </w:r>
      <w:r w:rsidR="001E7027">
        <w:rPr>
          <w:sz w:val="26"/>
          <w:szCs w:val="26"/>
        </w:rPr>
        <w:t>przesłanka zastosowania art. 5 k.c. w postaci „czynienia użytku z prawa” (czyli zgł</w:t>
      </w:r>
      <w:r w:rsidR="00FA7B88">
        <w:rPr>
          <w:sz w:val="26"/>
          <w:szCs w:val="26"/>
        </w:rPr>
        <w:t>oszenia</w:t>
      </w:r>
      <w:r w:rsidR="001E7027">
        <w:rPr>
          <w:sz w:val="26"/>
          <w:szCs w:val="26"/>
        </w:rPr>
        <w:t xml:space="preserve"> żądania zachowku). Z kolei „definitywność” niegodności dziedziczenia oparta </w:t>
      </w:r>
      <w:r w:rsidR="0076121A">
        <w:rPr>
          <w:sz w:val="26"/>
          <w:szCs w:val="26"/>
        </w:rPr>
        <w:t xml:space="preserve">- </w:t>
      </w:r>
      <w:r w:rsidR="001E7027">
        <w:rPr>
          <w:sz w:val="26"/>
          <w:szCs w:val="26"/>
        </w:rPr>
        <w:t>najogólniej rzecz ujmując</w:t>
      </w:r>
      <w:r w:rsidR="0076121A">
        <w:rPr>
          <w:sz w:val="26"/>
          <w:szCs w:val="26"/>
        </w:rPr>
        <w:t xml:space="preserve"> -</w:t>
      </w:r>
      <w:r w:rsidR="001E7027">
        <w:rPr>
          <w:sz w:val="26"/>
          <w:szCs w:val="26"/>
        </w:rPr>
        <w:t xml:space="preserve"> na</w:t>
      </w:r>
      <w:r w:rsidR="004E3962">
        <w:rPr>
          <w:sz w:val="26"/>
          <w:szCs w:val="26"/>
        </w:rPr>
        <w:t xml:space="preserve"> ocenie</w:t>
      </w:r>
      <w:r w:rsidR="001E7027">
        <w:rPr>
          <w:sz w:val="26"/>
          <w:szCs w:val="26"/>
        </w:rPr>
        <w:t xml:space="preserve"> „relacji wobec spadkodawcy”</w:t>
      </w:r>
      <w:r w:rsidR="001C62B8">
        <w:rPr>
          <w:sz w:val="26"/>
          <w:szCs w:val="26"/>
        </w:rPr>
        <w:t xml:space="preserve"> </w:t>
      </w:r>
      <w:r w:rsidR="001E7027">
        <w:rPr>
          <w:sz w:val="26"/>
          <w:szCs w:val="26"/>
        </w:rPr>
        <w:t xml:space="preserve">i brak </w:t>
      </w:r>
      <w:r w:rsidR="001E7027">
        <w:rPr>
          <w:sz w:val="26"/>
          <w:szCs w:val="26"/>
        </w:rPr>
        <w:lastRenderedPageBreak/>
        <w:t>możliwości oddalenia żądania zachowku na podstawie art. 5 k.c.</w:t>
      </w:r>
      <w:r w:rsidR="00C814A5">
        <w:rPr>
          <w:sz w:val="26"/>
          <w:szCs w:val="26"/>
        </w:rPr>
        <w:t xml:space="preserve"> z oparciem jej</w:t>
      </w:r>
      <w:r w:rsidR="001E7027">
        <w:rPr>
          <w:sz w:val="26"/>
          <w:szCs w:val="26"/>
        </w:rPr>
        <w:t xml:space="preserve"> na okolicznościach układających się właśnie w płaszczyźnie spadkodawca i uprawniony do zachowku</w:t>
      </w:r>
      <w:r w:rsidR="00C814A5">
        <w:rPr>
          <w:sz w:val="26"/>
          <w:szCs w:val="26"/>
        </w:rPr>
        <w:t xml:space="preserve"> (gdyż te rodziłyby definitywność oddalenia)</w:t>
      </w:r>
      <w:r w:rsidR="001E7027">
        <w:rPr>
          <w:sz w:val="26"/>
          <w:szCs w:val="26"/>
        </w:rPr>
        <w:t xml:space="preserve"> precyzyjnie rozdzielają także te sfery. </w:t>
      </w:r>
    </w:p>
    <w:p w:rsidR="00E3670F" w:rsidRDefault="00E3670F" w:rsidP="00E3670F">
      <w:pPr>
        <w:ind w:firstLine="708"/>
        <w:jc w:val="both"/>
        <w:rPr>
          <w:sz w:val="26"/>
          <w:szCs w:val="26"/>
        </w:rPr>
      </w:pPr>
    </w:p>
    <w:p w:rsidR="002510C4" w:rsidRDefault="00824DA4" w:rsidP="00824DA4">
      <w:pPr>
        <w:jc w:val="both"/>
        <w:rPr>
          <w:sz w:val="26"/>
          <w:szCs w:val="26"/>
        </w:rPr>
      </w:pPr>
      <w:r w:rsidRPr="00E60331">
        <w:rPr>
          <w:b/>
          <w:sz w:val="26"/>
          <w:szCs w:val="26"/>
        </w:rPr>
        <w:t>4.</w:t>
      </w:r>
      <w:r w:rsidRPr="00E60331">
        <w:rPr>
          <w:b/>
          <w:sz w:val="26"/>
          <w:szCs w:val="26"/>
        </w:rPr>
        <w:tab/>
      </w:r>
      <w:r w:rsidR="00E3670F">
        <w:rPr>
          <w:sz w:val="26"/>
          <w:szCs w:val="26"/>
        </w:rPr>
        <w:t>W tym miejscu czas na</w:t>
      </w:r>
      <w:r w:rsidR="00E60331">
        <w:rPr>
          <w:sz w:val="26"/>
          <w:szCs w:val="26"/>
        </w:rPr>
        <w:t xml:space="preserve"> ogólniejszą refleksję. Otóż, u</w:t>
      </w:r>
      <w:r w:rsidR="00ED615B">
        <w:rPr>
          <w:sz w:val="26"/>
          <w:szCs w:val="26"/>
        </w:rPr>
        <w:t>stawodawca</w:t>
      </w:r>
      <w:r w:rsidR="00C46553">
        <w:rPr>
          <w:sz w:val="26"/>
          <w:szCs w:val="26"/>
        </w:rPr>
        <w:t xml:space="preserve"> polski</w:t>
      </w:r>
      <w:r w:rsidR="00ED615B">
        <w:rPr>
          <w:sz w:val="26"/>
          <w:szCs w:val="26"/>
        </w:rPr>
        <w:t xml:space="preserve"> rzeczywiście </w:t>
      </w:r>
      <w:r w:rsidR="00C46553">
        <w:rPr>
          <w:sz w:val="26"/>
          <w:szCs w:val="26"/>
        </w:rPr>
        <w:t xml:space="preserve">chroni zachowek kosztem </w:t>
      </w:r>
      <w:r w:rsidR="00E3670F">
        <w:rPr>
          <w:sz w:val="26"/>
          <w:szCs w:val="26"/>
        </w:rPr>
        <w:t xml:space="preserve">„sporej części” </w:t>
      </w:r>
      <w:r w:rsidR="00C46553">
        <w:rPr>
          <w:sz w:val="26"/>
          <w:szCs w:val="26"/>
        </w:rPr>
        <w:t xml:space="preserve">autonomii woli spadkodawcy. Wyważenie dwóch wartości tj. solidarności rodzinnej z jednej strony oraz autonomii dysponenta majątku </w:t>
      </w:r>
      <w:r w:rsidR="00C46553" w:rsidRPr="00C46553">
        <w:rPr>
          <w:i/>
          <w:sz w:val="26"/>
          <w:szCs w:val="26"/>
        </w:rPr>
        <w:t>mortis causa</w:t>
      </w:r>
      <w:r w:rsidR="00C46553">
        <w:rPr>
          <w:sz w:val="26"/>
          <w:szCs w:val="26"/>
        </w:rPr>
        <w:t xml:space="preserve"> z drugiej, dokonane </w:t>
      </w:r>
      <w:r w:rsidR="005D7CE9">
        <w:rPr>
          <w:sz w:val="26"/>
          <w:szCs w:val="26"/>
        </w:rPr>
        <w:t xml:space="preserve">jeszcze </w:t>
      </w:r>
      <w:r w:rsidR="00C46553">
        <w:rPr>
          <w:sz w:val="26"/>
          <w:szCs w:val="26"/>
        </w:rPr>
        <w:t>w latach sześćdziesiątych ubiegłego wieku</w:t>
      </w:r>
      <w:r w:rsidR="00E3670F">
        <w:rPr>
          <w:rStyle w:val="Odwoanieprzypisudolnego"/>
          <w:sz w:val="26"/>
          <w:szCs w:val="26"/>
        </w:rPr>
        <w:footnoteReference w:id="9"/>
      </w:r>
      <w:r w:rsidR="00C46553">
        <w:rPr>
          <w:sz w:val="26"/>
          <w:szCs w:val="26"/>
        </w:rPr>
        <w:t>, nadal pozostaje wiążącym prawem. Nawet jeś</w:t>
      </w:r>
      <w:r w:rsidR="00D83A69">
        <w:rPr>
          <w:sz w:val="26"/>
          <w:szCs w:val="26"/>
        </w:rPr>
        <w:t>li obecnie</w:t>
      </w:r>
      <w:r w:rsidR="00C46553">
        <w:rPr>
          <w:sz w:val="26"/>
          <w:szCs w:val="26"/>
        </w:rPr>
        <w:t xml:space="preserve"> można już mieć uzasadnione wątpliwości co do aktualności tego wyważenia w zasadniczo zmienionych warunkach społecznych oraz gospodarczych</w:t>
      </w:r>
      <w:r w:rsidR="00E60331">
        <w:rPr>
          <w:rStyle w:val="Odwoanieprzypisudolnego"/>
          <w:sz w:val="26"/>
          <w:szCs w:val="26"/>
        </w:rPr>
        <w:footnoteReference w:id="10"/>
      </w:r>
      <w:r w:rsidR="00C46553">
        <w:rPr>
          <w:sz w:val="26"/>
          <w:szCs w:val="26"/>
        </w:rPr>
        <w:t xml:space="preserve">. </w:t>
      </w:r>
      <w:r w:rsidR="005D7CE9">
        <w:rPr>
          <w:sz w:val="26"/>
          <w:szCs w:val="26"/>
        </w:rPr>
        <w:t>Te zmienione okoliczności mogą nawet prowadzić do przekonania o zasadniczej nieaktualności instytucji zachowku w dzisiejszych czasach i potrzebie zastąpienia go innymi rozwiązaniami. W tym np. tzw. „systemem alimentacyjnym” chroniącym tylko tych spośród najbliższych, którzy znajdu</w:t>
      </w:r>
      <w:r w:rsidR="00090563">
        <w:rPr>
          <w:sz w:val="26"/>
          <w:szCs w:val="26"/>
        </w:rPr>
        <w:t>ją się w potrzebie (a więc np.</w:t>
      </w:r>
      <w:r w:rsidR="002510C4">
        <w:rPr>
          <w:sz w:val="26"/>
          <w:szCs w:val="26"/>
        </w:rPr>
        <w:t>: małoletni</w:t>
      </w:r>
      <w:r w:rsidR="00446EBE">
        <w:rPr>
          <w:sz w:val="26"/>
          <w:szCs w:val="26"/>
        </w:rPr>
        <w:t>ch</w:t>
      </w:r>
      <w:r w:rsidR="008424B1">
        <w:rPr>
          <w:sz w:val="26"/>
          <w:szCs w:val="26"/>
        </w:rPr>
        <w:t>,</w:t>
      </w:r>
      <w:r w:rsidR="00446EBE">
        <w:rPr>
          <w:sz w:val="26"/>
          <w:szCs w:val="26"/>
        </w:rPr>
        <w:t xml:space="preserve"> chorych, niezdolnych</w:t>
      </w:r>
      <w:r w:rsidR="005D7CE9">
        <w:rPr>
          <w:sz w:val="26"/>
          <w:szCs w:val="26"/>
        </w:rPr>
        <w:t xml:space="preserve"> do pracy itp.) i nie chroniącym tych spośró</w:t>
      </w:r>
      <w:r w:rsidR="00D83A69">
        <w:rPr>
          <w:sz w:val="26"/>
          <w:szCs w:val="26"/>
        </w:rPr>
        <w:t>d nich</w:t>
      </w:r>
      <w:r w:rsidR="005D7CE9">
        <w:rPr>
          <w:sz w:val="26"/>
          <w:szCs w:val="26"/>
        </w:rPr>
        <w:t>, którzy „mają się dobrze”</w:t>
      </w:r>
      <w:r w:rsidR="00B50A0D">
        <w:rPr>
          <w:sz w:val="26"/>
          <w:szCs w:val="26"/>
        </w:rPr>
        <w:t>,</w:t>
      </w:r>
      <w:r w:rsidR="002510C4">
        <w:rPr>
          <w:sz w:val="26"/>
          <w:szCs w:val="26"/>
        </w:rPr>
        <w:t xml:space="preserve"> a </w:t>
      </w:r>
      <w:r w:rsidR="00D83A69">
        <w:rPr>
          <w:sz w:val="26"/>
          <w:szCs w:val="26"/>
        </w:rPr>
        <w:t xml:space="preserve">wbrew ewidentnej woli zmarłego </w:t>
      </w:r>
      <w:r w:rsidR="002510C4">
        <w:rPr>
          <w:sz w:val="26"/>
          <w:szCs w:val="26"/>
        </w:rPr>
        <w:t>korzystają jedynie ze swej formalnej pozycji w „hierarchii rodzinnej”</w:t>
      </w:r>
      <w:r w:rsidR="005D7CE9">
        <w:rPr>
          <w:sz w:val="26"/>
          <w:szCs w:val="26"/>
        </w:rPr>
        <w:t>. Taki system był</w:t>
      </w:r>
      <w:r w:rsidR="00446EBE">
        <w:rPr>
          <w:sz w:val="26"/>
          <w:szCs w:val="26"/>
        </w:rPr>
        <w:t>by zapewne</w:t>
      </w:r>
      <w:r w:rsidR="005D7CE9">
        <w:rPr>
          <w:sz w:val="26"/>
          <w:szCs w:val="26"/>
        </w:rPr>
        <w:t xml:space="preserve"> bardziej sprawiedliwy</w:t>
      </w:r>
      <w:r w:rsidR="002510C4">
        <w:rPr>
          <w:sz w:val="26"/>
          <w:szCs w:val="26"/>
        </w:rPr>
        <w:t xml:space="preserve"> (przy pewnych założeniach) a w szczególności bardziej chroniłby wolę spadkodawcy. </w:t>
      </w:r>
      <w:r w:rsidR="00AC6122">
        <w:rPr>
          <w:sz w:val="26"/>
          <w:szCs w:val="26"/>
        </w:rPr>
        <w:t xml:space="preserve">Wiązałyby się z nim </w:t>
      </w:r>
      <w:r w:rsidR="002510C4">
        <w:rPr>
          <w:sz w:val="26"/>
          <w:szCs w:val="26"/>
        </w:rPr>
        <w:t xml:space="preserve">jednak </w:t>
      </w:r>
      <w:r w:rsidR="00B50A0D">
        <w:rPr>
          <w:sz w:val="26"/>
          <w:szCs w:val="26"/>
        </w:rPr>
        <w:t xml:space="preserve">również </w:t>
      </w:r>
      <w:r w:rsidR="00AC6122">
        <w:rPr>
          <w:sz w:val="26"/>
          <w:szCs w:val="26"/>
        </w:rPr>
        <w:t>pewne</w:t>
      </w:r>
      <w:r w:rsidR="002510C4">
        <w:rPr>
          <w:sz w:val="26"/>
          <w:szCs w:val="26"/>
        </w:rPr>
        <w:t xml:space="preserve"> ryzyka. I</w:t>
      </w:r>
      <w:r w:rsidR="00FA2D63">
        <w:rPr>
          <w:sz w:val="26"/>
          <w:szCs w:val="26"/>
        </w:rPr>
        <w:t>ch szersze omawianie przekracza</w:t>
      </w:r>
      <w:r w:rsidR="00D83A69">
        <w:rPr>
          <w:sz w:val="26"/>
          <w:szCs w:val="26"/>
        </w:rPr>
        <w:t xml:space="preserve"> </w:t>
      </w:r>
      <w:r w:rsidR="002510C4">
        <w:rPr>
          <w:sz w:val="26"/>
          <w:szCs w:val="26"/>
        </w:rPr>
        <w:t>ramy glosy</w:t>
      </w:r>
      <w:r w:rsidR="00D83A69">
        <w:rPr>
          <w:rStyle w:val="Odwoanieprzypisudolnego"/>
          <w:sz w:val="26"/>
          <w:szCs w:val="26"/>
        </w:rPr>
        <w:footnoteReference w:id="11"/>
      </w:r>
      <w:r w:rsidR="002510C4">
        <w:rPr>
          <w:sz w:val="26"/>
          <w:szCs w:val="26"/>
        </w:rPr>
        <w:t xml:space="preserve">. </w:t>
      </w:r>
    </w:p>
    <w:p w:rsidR="008424B1" w:rsidRDefault="007523A0" w:rsidP="00446E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Mimo przekonania o coraz mniejszej aktualności zachowku w jego obecnym kształcie ustawowym trzeba jednak zde</w:t>
      </w:r>
      <w:r w:rsidR="00446EBE">
        <w:rPr>
          <w:sz w:val="26"/>
          <w:szCs w:val="26"/>
        </w:rPr>
        <w:t xml:space="preserve">cydowanie podkreślić to, że </w:t>
      </w:r>
      <w:r w:rsidR="002510C4">
        <w:rPr>
          <w:sz w:val="26"/>
          <w:szCs w:val="26"/>
        </w:rPr>
        <w:t>wyważenia dokonanego przez prawodawcę</w:t>
      </w:r>
      <w:r w:rsidR="00C46553">
        <w:rPr>
          <w:sz w:val="26"/>
          <w:szCs w:val="26"/>
        </w:rPr>
        <w:t xml:space="preserve"> nie można zmieniać w drodze stosowania regulacji wyjątkowej jaką jest przepis art. 5 k.c. Norma ta nie </w:t>
      </w:r>
      <w:r w:rsidR="002510C4">
        <w:rPr>
          <w:sz w:val="26"/>
          <w:szCs w:val="26"/>
        </w:rPr>
        <w:t xml:space="preserve">służy bowiem do </w:t>
      </w:r>
      <w:r w:rsidR="002510C4" w:rsidRPr="00446EBE">
        <w:rPr>
          <w:spacing w:val="80"/>
          <w:sz w:val="26"/>
          <w:szCs w:val="26"/>
        </w:rPr>
        <w:t>generalnego</w:t>
      </w:r>
      <w:r w:rsidR="002510C4">
        <w:rPr>
          <w:sz w:val="26"/>
          <w:szCs w:val="26"/>
        </w:rPr>
        <w:t xml:space="preserve"> uchylania „nieaktualnych przepisów prawa</w:t>
      </w:r>
      <w:r w:rsidR="00D83A69">
        <w:rPr>
          <w:sz w:val="26"/>
          <w:szCs w:val="26"/>
        </w:rPr>
        <w:t>”. Nie stanowi ona</w:t>
      </w:r>
      <w:r w:rsidR="00C46553">
        <w:rPr>
          <w:sz w:val="26"/>
          <w:szCs w:val="26"/>
        </w:rPr>
        <w:t xml:space="preserve"> up</w:t>
      </w:r>
      <w:r>
        <w:rPr>
          <w:sz w:val="26"/>
          <w:szCs w:val="26"/>
        </w:rPr>
        <w:t>oważnienia sędziego do korekty</w:t>
      </w:r>
      <w:r w:rsidR="00C46553">
        <w:rPr>
          <w:sz w:val="26"/>
          <w:szCs w:val="26"/>
        </w:rPr>
        <w:t xml:space="preserve"> powszechnie obowiązujących przepisów</w:t>
      </w:r>
      <w:r w:rsidR="00B50A0D">
        <w:rPr>
          <w:sz w:val="26"/>
          <w:szCs w:val="26"/>
        </w:rPr>
        <w:t xml:space="preserve"> </w:t>
      </w:r>
      <w:r w:rsidR="002B1926">
        <w:rPr>
          <w:sz w:val="26"/>
          <w:szCs w:val="26"/>
        </w:rPr>
        <w:t xml:space="preserve">prawa </w:t>
      </w:r>
      <w:r w:rsidR="00B50A0D">
        <w:rPr>
          <w:sz w:val="26"/>
          <w:szCs w:val="26"/>
        </w:rPr>
        <w:t>wedle jego własnego przekonania</w:t>
      </w:r>
      <w:r w:rsidR="002B1926">
        <w:rPr>
          <w:sz w:val="26"/>
          <w:szCs w:val="26"/>
        </w:rPr>
        <w:t xml:space="preserve"> (a więc w</w:t>
      </w:r>
      <w:r w:rsidR="00446EBE">
        <w:rPr>
          <w:sz w:val="26"/>
          <w:szCs w:val="26"/>
        </w:rPr>
        <w:t xml:space="preserve"> tym przypadku</w:t>
      </w:r>
      <w:r w:rsidR="002B1926">
        <w:rPr>
          <w:sz w:val="26"/>
          <w:szCs w:val="26"/>
        </w:rPr>
        <w:t xml:space="preserve"> przekonania, że konstrukcja zachowku </w:t>
      </w:r>
      <w:r w:rsidR="004E3962">
        <w:rPr>
          <w:sz w:val="26"/>
          <w:szCs w:val="26"/>
        </w:rPr>
        <w:t>„</w:t>
      </w:r>
      <w:r w:rsidR="002B1926">
        <w:rPr>
          <w:sz w:val="26"/>
          <w:szCs w:val="26"/>
        </w:rPr>
        <w:t>prz</w:t>
      </w:r>
      <w:r w:rsidR="00446EBE">
        <w:rPr>
          <w:sz w:val="26"/>
          <w:szCs w:val="26"/>
        </w:rPr>
        <w:t>eżyła się</w:t>
      </w:r>
      <w:r w:rsidR="004E3962">
        <w:rPr>
          <w:sz w:val="26"/>
          <w:szCs w:val="26"/>
        </w:rPr>
        <w:t>”</w:t>
      </w:r>
      <w:r w:rsidR="00446EBE">
        <w:rPr>
          <w:sz w:val="26"/>
          <w:szCs w:val="26"/>
        </w:rPr>
        <w:t xml:space="preserve"> i jest generalnie niezgodna z „duchem czasów</w:t>
      </w:r>
      <w:r w:rsidR="002B1926">
        <w:rPr>
          <w:sz w:val="26"/>
          <w:szCs w:val="26"/>
        </w:rPr>
        <w:t>”)</w:t>
      </w:r>
      <w:r w:rsidR="00C46553">
        <w:rPr>
          <w:sz w:val="26"/>
          <w:szCs w:val="26"/>
        </w:rPr>
        <w:t xml:space="preserve">. </w:t>
      </w:r>
    </w:p>
    <w:p w:rsidR="00683027" w:rsidRDefault="007523A0" w:rsidP="008424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Taka obserwacja nie oznacza aprobaty dla stanowiska Sądu Najwyższego wykluczającego oddalenie żądania zachowku na podstawie art. 5 k.c. </w:t>
      </w:r>
      <w:r w:rsidR="00B50A0D">
        <w:rPr>
          <w:sz w:val="26"/>
          <w:szCs w:val="26"/>
        </w:rPr>
        <w:t xml:space="preserve">Wręcz przeciwnie. </w:t>
      </w:r>
      <w:r w:rsidR="00230707">
        <w:rPr>
          <w:sz w:val="26"/>
          <w:szCs w:val="26"/>
        </w:rPr>
        <w:t>Przecież d</w:t>
      </w:r>
      <w:r w:rsidR="00B50A0D">
        <w:rPr>
          <w:sz w:val="26"/>
          <w:szCs w:val="26"/>
        </w:rPr>
        <w:t xml:space="preserve">opuszczenie </w:t>
      </w:r>
      <w:r w:rsidR="002B1926" w:rsidRPr="00230707">
        <w:rPr>
          <w:i/>
          <w:sz w:val="26"/>
          <w:szCs w:val="26"/>
        </w:rPr>
        <w:t>in concreto</w:t>
      </w:r>
      <w:r w:rsidR="002B1926">
        <w:rPr>
          <w:sz w:val="26"/>
          <w:szCs w:val="26"/>
        </w:rPr>
        <w:t xml:space="preserve"> „</w:t>
      </w:r>
      <w:r w:rsidR="00B50A0D">
        <w:rPr>
          <w:sz w:val="26"/>
          <w:szCs w:val="26"/>
        </w:rPr>
        <w:t>podważ</w:t>
      </w:r>
      <w:r w:rsidR="002B1926">
        <w:rPr>
          <w:sz w:val="26"/>
          <w:szCs w:val="26"/>
        </w:rPr>
        <w:t xml:space="preserve">enia normy prawnej” z pomocą </w:t>
      </w:r>
      <w:r w:rsidR="002B1926">
        <w:rPr>
          <w:sz w:val="26"/>
          <w:szCs w:val="26"/>
        </w:rPr>
        <w:lastRenderedPageBreak/>
        <w:t>konstrukcji nadużycia prawa, art. 5 k.c.</w:t>
      </w:r>
      <w:r w:rsidR="00B50A0D">
        <w:rPr>
          <w:sz w:val="26"/>
          <w:szCs w:val="26"/>
        </w:rPr>
        <w:t xml:space="preserve"> służy</w:t>
      </w:r>
      <w:r w:rsidR="002B1926">
        <w:rPr>
          <w:sz w:val="26"/>
          <w:szCs w:val="26"/>
        </w:rPr>
        <w:t xml:space="preserve"> umocnieniu ustanowionej przez prawodawcę reguły. Bez tego reguła ta mogłaby stać się co do zasady (a nie tylko wyjątkowo) nie do zniesienia</w:t>
      </w:r>
      <w:r>
        <w:rPr>
          <w:sz w:val="26"/>
          <w:szCs w:val="26"/>
        </w:rPr>
        <w:t>.</w:t>
      </w:r>
      <w:r w:rsidR="00FA2D63">
        <w:rPr>
          <w:sz w:val="26"/>
          <w:szCs w:val="26"/>
        </w:rPr>
        <w:t xml:space="preserve"> Konieczne jest zatem „eliminowanie</w:t>
      </w:r>
      <w:r w:rsidR="002B1926">
        <w:rPr>
          <w:sz w:val="26"/>
          <w:szCs w:val="26"/>
        </w:rPr>
        <w:t xml:space="preserve">” wyjątkowych, skrajnych przypadków, które w przeciwnym razie mogłyby podważyć słuszność samej </w:t>
      </w:r>
      <w:r w:rsidR="00FA2D63">
        <w:rPr>
          <w:sz w:val="26"/>
          <w:szCs w:val="26"/>
        </w:rPr>
        <w:t>reguły generalnej</w:t>
      </w:r>
      <w:r w:rsidR="002B1926">
        <w:rPr>
          <w:sz w:val="26"/>
          <w:szCs w:val="26"/>
        </w:rPr>
        <w:t>.</w:t>
      </w:r>
      <w:r w:rsidR="00B50A0D">
        <w:rPr>
          <w:sz w:val="26"/>
          <w:szCs w:val="26"/>
        </w:rPr>
        <w:t xml:space="preserve"> </w:t>
      </w:r>
      <w:r w:rsidR="002B1926">
        <w:rPr>
          <w:sz w:val="26"/>
          <w:szCs w:val="26"/>
        </w:rPr>
        <w:t xml:space="preserve">Temu celowi </w:t>
      </w:r>
      <w:r w:rsidR="00230707">
        <w:rPr>
          <w:sz w:val="26"/>
          <w:szCs w:val="26"/>
        </w:rPr>
        <w:t xml:space="preserve">- </w:t>
      </w:r>
      <w:r w:rsidR="002B1926">
        <w:rPr>
          <w:sz w:val="26"/>
          <w:szCs w:val="26"/>
        </w:rPr>
        <w:t xml:space="preserve">z woli prawodawcy </w:t>
      </w:r>
      <w:r w:rsidR="00230707">
        <w:rPr>
          <w:sz w:val="26"/>
          <w:szCs w:val="26"/>
        </w:rPr>
        <w:t xml:space="preserve">- </w:t>
      </w:r>
      <w:r w:rsidR="002B1926">
        <w:rPr>
          <w:sz w:val="26"/>
          <w:szCs w:val="26"/>
        </w:rPr>
        <w:t xml:space="preserve">służy art. 5 k.c. </w:t>
      </w:r>
      <w:r w:rsidR="008424B1">
        <w:rPr>
          <w:sz w:val="26"/>
          <w:szCs w:val="26"/>
        </w:rPr>
        <w:t>Oczywiście, z</w:t>
      </w:r>
      <w:r w:rsidR="00C46553">
        <w:rPr>
          <w:sz w:val="26"/>
          <w:szCs w:val="26"/>
        </w:rPr>
        <w:t xml:space="preserve">aistnieć muszą </w:t>
      </w:r>
      <w:r w:rsidR="00D83A69">
        <w:rPr>
          <w:sz w:val="26"/>
          <w:szCs w:val="26"/>
        </w:rPr>
        <w:t xml:space="preserve">okoliczności szczególne, zupełnie wyjątkowe, które powodują, że w konkretnym przypadku generalne wyważenie dokonane przez prawodawcę staje się rażąco niesprawiedliwe. </w:t>
      </w:r>
    </w:p>
    <w:p w:rsidR="00683027" w:rsidRDefault="00683027" w:rsidP="00683027">
      <w:pPr>
        <w:jc w:val="both"/>
        <w:rPr>
          <w:sz w:val="26"/>
          <w:szCs w:val="26"/>
        </w:rPr>
      </w:pPr>
    </w:p>
    <w:p w:rsidR="00683027" w:rsidRDefault="00FC361E" w:rsidP="0068302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683027" w:rsidRPr="00683027">
        <w:rPr>
          <w:b/>
          <w:sz w:val="26"/>
          <w:szCs w:val="26"/>
        </w:rPr>
        <w:t>.</w:t>
      </w:r>
      <w:r w:rsidR="00683027">
        <w:rPr>
          <w:sz w:val="26"/>
          <w:szCs w:val="26"/>
        </w:rPr>
        <w:t xml:space="preserve"> </w:t>
      </w:r>
      <w:r w:rsidR="00683027">
        <w:rPr>
          <w:sz w:val="26"/>
          <w:szCs w:val="26"/>
        </w:rPr>
        <w:tab/>
      </w:r>
      <w:r w:rsidR="007523A0">
        <w:rPr>
          <w:sz w:val="26"/>
          <w:szCs w:val="26"/>
        </w:rPr>
        <w:t>Warto jeszcze</w:t>
      </w:r>
      <w:r w:rsidR="00136FEB">
        <w:rPr>
          <w:sz w:val="26"/>
          <w:szCs w:val="26"/>
        </w:rPr>
        <w:t xml:space="preserve"> zwrócić uwagę na to, że s</w:t>
      </w:r>
      <w:r w:rsidR="00683027">
        <w:rPr>
          <w:sz w:val="26"/>
          <w:szCs w:val="26"/>
        </w:rPr>
        <w:t>poro nieporozumień</w:t>
      </w:r>
      <w:r w:rsidR="007523A0">
        <w:rPr>
          <w:sz w:val="26"/>
          <w:szCs w:val="26"/>
        </w:rPr>
        <w:t>, a chodzi o te zupełnie fundamentalne,</w:t>
      </w:r>
      <w:r w:rsidR="00683027">
        <w:rPr>
          <w:sz w:val="26"/>
          <w:szCs w:val="26"/>
        </w:rPr>
        <w:t xml:space="preserve"> wywołuje </w:t>
      </w:r>
      <w:r w:rsidR="00136FEB">
        <w:rPr>
          <w:sz w:val="26"/>
          <w:szCs w:val="26"/>
        </w:rPr>
        <w:t xml:space="preserve">w dyskusji </w:t>
      </w:r>
      <w:r w:rsidR="00553B63">
        <w:rPr>
          <w:sz w:val="26"/>
          <w:szCs w:val="26"/>
        </w:rPr>
        <w:t>również nie dość konsekwentnie</w:t>
      </w:r>
      <w:r w:rsidR="007523A0">
        <w:rPr>
          <w:sz w:val="26"/>
          <w:szCs w:val="26"/>
        </w:rPr>
        <w:t xml:space="preserve">, </w:t>
      </w:r>
      <w:r w:rsidR="00683027">
        <w:rPr>
          <w:sz w:val="26"/>
          <w:szCs w:val="26"/>
        </w:rPr>
        <w:t>a</w:t>
      </w:r>
      <w:r w:rsidR="007523A0">
        <w:rPr>
          <w:sz w:val="26"/>
          <w:szCs w:val="26"/>
        </w:rPr>
        <w:t xml:space="preserve"> w szczególności niejednolicie</w:t>
      </w:r>
      <w:r w:rsidR="00D734CD">
        <w:rPr>
          <w:sz w:val="26"/>
          <w:szCs w:val="26"/>
        </w:rPr>
        <w:t xml:space="preserve"> używana,</w:t>
      </w:r>
      <w:r w:rsidR="00683027">
        <w:rPr>
          <w:sz w:val="26"/>
          <w:szCs w:val="26"/>
        </w:rPr>
        <w:t xml:space="preserve"> terminologia</w:t>
      </w:r>
      <w:r w:rsidR="00D734CD">
        <w:rPr>
          <w:sz w:val="26"/>
          <w:szCs w:val="26"/>
        </w:rPr>
        <w:t>.</w:t>
      </w:r>
      <w:r w:rsidR="00683027">
        <w:rPr>
          <w:sz w:val="26"/>
          <w:szCs w:val="26"/>
        </w:rPr>
        <w:t xml:space="preserve"> </w:t>
      </w:r>
      <w:r w:rsidR="00740095">
        <w:rPr>
          <w:sz w:val="26"/>
          <w:szCs w:val="26"/>
        </w:rPr>
        <w:t>Problem polega na tym, że wcale n</w:t>
      </w:r>
      <w:r w:rsidR="00D734CD">
        <w:rPr>
          <w:sz w:val="26"/>
          <w:szCs w:val="26"/>
        </w:rPr>
        <w:t>ierzadko zdarza się zamienne traktowanie</w:t>
      </w:r>
      <w:r w:rsidR="00683027">
        <w:rPr>
          <w:sz w:val="26"/>
          <w:szCs w:val="26"/>
        </w:rPr>
        <w:t xml:space="preserve"> określeń: „oddalenie żądania” oraz „pozbawienie prawa do zachowku”. A przecież nie chodzi o synonimy. </w:t>
      </w:r>
      <w:r w:rsidR="00D734CD">
        <w:rPr>
          <w:sz w:val="26"/>
          <w:szCs w:val="26"/>
        </w:rPr>
        <w:t xml:space="preserve">O ile jednak „oddalenie żądania” na podstawie art. 5 k.c. jest jak najbardziej dopuszczalne (i słusznie cieszy się powszechną aprobatą w piśmiennictwie), o tyle niektórzy postrzegają w nim również (już zupełnie niedopuszczalne) „pozbawienie prawa do zachowku”. </w:t>
      </w:r>
    </w:p>
    <w:p w:rsidR="00B937C0" w:rsidRDefault="00B937C0" w:rsidP="00683027">
      <w:pPr>
        <w:jc w:val="both"/>
        <w:rPr>
          <w:sz w:val="26"/>
          <w:szCs w:val="26"/>
        </w:rPr>
      </w:pPr>
    </w:p>
    <w:p w:rsidR="00187806" w:rsidRDefault="00FC361E" w:rsidP="0068302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B937C0" w:rsidRPr="005253A5">
        <w:rPr>
          <w:b/>
          <w:sz w:val="26"/>
          <w:szCs w:val="26"/>
        </w:rPr>
        <w:t>.</w:t>
      </w:r>
      <w:r w:rsidR="00B937C0">
        <w:rPr>
          <w:sz w:val="26"/>
          <w:szCs w:val="26"/>
        </w:rPr>
        <w:tab/>
        <w:t xml:space="preserve">Reasumując trzeba przyjąć, że stanowisko Sądu Najwyższego wykluczające ocenę żądania zapłaty zachowku z perspektywy art. 5 k.c. nie jest właściwe. </w:t>
      </w:r>
      <w:r w:rsidR="00446EBE">
        <w:rPr>
          <w:sz w:val="26"/>
          <w:szCs w:val="26"/>
        </w:rPr>
        <w:t xml:space="preserve">Jak każde </w:t>
      </w:r>
      <w:r w:rsidR="000F30C0">
        <w:rPr>
          <w:sz w:val="26"/>
          <w:szCs w:val="26"/>
        </w:rPr>
        <w:t xml:space="preserve">wykonywanie prawa podmiotowego również domaganie się zapłaty zachowku podlega ocenie przez pryzmat nadużycia prawa. </w:t>
      </w:r>
    </w:p>
    <w:p w:rsidR="005253A5" w:rsidRDefault="00446EBE" w:rsidP="00446E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Trudno również nie dostrzec tego, że pogląd Sądu Najwyższego </w:t>
      </w:r>
      <w:r w:rsidR="00B937C0">
        <w:rPr>
          <w:sz w:val="26"/>
          <w:szCs w:val="26"/>
        </w:rPr>
        <w:t>umacnia nadmiernie pozycję uprawionego do zachowku, co nie odpowiada już dzisiejszym relacjom społecznym i gospodarczym</w:t>
      </w:r>
      <w:r>
        <w:rPr>
          <w:sz w:val="26"/>
          <w:szCs w:val="26"/>
        </w:rPr>
        <w:t xml:space="preserve"> w Polsce oraz zagranicznym tendencjom charakterystycznym dla rozwiniętej demokracji i gospodarki rynkowej.</w:t>
      </w:r>
      <w:r w:rsidR="00B937C0">
        <w:rPr>
          <w:sz w:val="26"/>
          <w:szCs w:val="26"/>
        </w:rPr>
        <w:t xml:space="preserve"> </w:t>
      </w:r>
    </w:p>
    <w:p w:rsidR="00162CF8" w:rsidRDefault="00446EBE" w:rsidP="005253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Przy tym stosowanie konstrukcji</w:t>
      </w:r>
      <w:r w:rsidR="00B937C0">
        <w:rPr>
          <w:sz w:val="26"/>
          <w:szCs w:val="26"/>
        </w:rPr>
        <w:t xml:space="preserve"> nadużycia prawa podmiot</w:t>
      </w:r>
      <w:r>
        <w:rPr>
          <w:sz w:val="26"/>
          <w:szCs w:val="26"/>
        </w:rPr>
        <w:t>owego nie stoi w sprzeczności z</w:t>
      </w:r>
      <w:r w:rsidR="00B937C0">
        <w:rPr>
          <w:sz w:val="26"/>
          <w:szCs w:val="26"/>
        </w:rPr>
        <w:t xml:space="preserve"> konstytucyjną ochroną</w:t>
      </w:r>
      <w:r w:rsidR="005253A5">
        <w:rPr>
          <w:sz w:val="26"/>
          <w:szCs w:val="26"/>
        </w:rPr>
        <w:t xml:space="preserve"> poszczególnych</w:t>
      </w:r>
      <w:r w:rsidR="00B937C0">
        <w:rPr>
          <w:sz w:val="26"/>
          <w:szCs w:val="26"/>
        </w:rPr>
        <w:t xml:space="preserve"> praw (w tym</w:t>
      </w:r>
      <w:r w:rsidR="00AC6122">
        <w:rPr>
          <w:sz w:val="26"/>
          <w:szCs w:val="26"/>
        </w:rPr>
        <w:t>,</w:t>
      </w:r>
      <w:r w:rsidR="00B937C0">
        <w:rPr>
          <w:sz w:val="26"/>
          <w:szCs w:val="26"/>
        </w:rPr>
        <w:t xml:space="preserve"> </w:t>
      </w:r>
      <w:r w:rsidR="005253A5">
        <w:rPr>
          <w:sz w:val="26"/>
          <w:szCs w:val="26"/>
        </w:rPr>
        <w:t>obok prawa własności</w:t>
      </w:r>
      <w:r w:rsidR="00AC6122">
        <w:rPr>
          <w:sz w:val="26"/>
          <w:szCs w:val="26"/>
        </w:rPr>
        <w:t>,</w:t>
      </w:r>
      <w:r w:rsidR="005253A5">
        <w:rPr>
          <w:sz w:val="26"/>
          <w:szCs w:val="26"/>
        </w:rPr>
        <w:t xml:space="preserve"> także </w:t>
      </w:r>
      <w:r>
        <w:rPr>
          <w:sz w:val="26"/>
          <w:szCs w:val="26"/>
        </w:rPr>
        <w:t>prawa do dziedziczenia). Przepis art. 5 k.c.</w:t>
      </w:r>
      <w:r w:rsidR="00B937C0">
        <w:rPr>
          <w:sz w:val="26"/>
          <w:szCs w:val="26"/>
        </w:rPr>
        <w:t xml:space="preserve"> przeciwdziała je</w:t>
      </w:r>
      <w:r>
        <w:rPr>
          <w:sz w:val="26"/>
          <w:szCs w:val="26"/>
        </w:rPr>
        <w:t>dynie niewłaściwemu wykonywaniu</w:t>
      </w:r>
      <w:r w:rsidR="005253A5">
        <w:rPr>
          <w:sz w:val="26"/>
          <w:szCs w:val="26"/>
        </w:rPr>
        <w:t xml:space="preserve"> praw, w tym także praw konstytucyjnie gwarantowanych</w:t>
      </w:r>
      <w:r>
        <w:rPr>
          <w:sz w:val="26"/>
          <w:szCs w:val="26"/>
        </w:rPr>
        <w:t>,</w:t>
      </w:r>
      <w:r w:rsidR="005E0F49">
        <w:rPr>
          <w:sz w:val="26"/>
          <w:szCs w:val="26"/>
        </w:rPr>
        <w:t xml:space="preserve"> nie naruszając ich istoty</w:t>
      </w:r>
      <w:r w:rsidR="005253A5">
        <w:rPr>
          <w:sz w:val="26"/>
          <w:szCs w:val="26"/>
        </w:rPr>
        <w:t xml:space="preserve">. </w:t>
      </w:r>
      <w:r w:rsidR="00B937C0">
        <w:rPr>
          <w:sz w:val="26"/>
          <w:szCs w:val="26"/>
        </w:rPr>
        <w:t xml:space="preserve"> </w:t>
      </w:r>
    </w:p>
    <w:p w:rsidR="00162CF8" w:rsidRDefault="00162CF8" w:rsidP="005253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Można natomiast zgodzić się z Sądem Najwyższym, że ustawodawca </w:t>
      </w:r>
      <w:r w:rsidR="00553B63">
        <w:rPr>
          <w:sz w:val="26"/>
          <w:szCs w:val="26"/>
        </w:rPr>
        <w:t>starannie</w:t>
      </w:r>
      <w:r w:rsidR="00446EBE">
        <w:rPr>
          <w:sz w:val="26"/>
          <w:szCs w:val="26"/>
        </w:rPr>
        <w:t xml:space="preserve"> limituje wypadki, w których zezwala</w:t>
      </w:r>
      <w:r>
        <w:rPr>
          <w:sz w:val="26"/>
          <w:szCs w:val="26"/>
        </w:rPr>
        <w:t xml:space="preserve"> na </w:t>
      </w:r>
      <w:r w:rsidRPr="00187806">
        <w:rPr>
          <w:spacing w:val="80"/>
          <w:sz w:val="26"/>
          <w:szCs w:val="26"/>
        </w:rPr>
        <w:t>definitywne</w:t>
      </w:r>
      <w:r>
        <w:rPr>
          <w:sz w:val="26"/>
          <w:szCs w:val="26"/>
        </w:rPr>
        <w:t xml:space="preserve"> pozbawienie uprawnionego prawa do przysługującego mu zachowku. </w:t>
      </w:r>
      <w:r w:rsidR="00FA2D63">
        <w:rPr>
          <w:sz w:val="26"/>
          <w:szCs w:val="26"/>
        </w:rPr>
        <w:t xml:space="preserve">Dopuszcza jedynie dwie takie sytuacje. </w:t>
      </w:r>
      <w:r>
        <w:rPr>
          <w:sz w:val="26"/>
          <w:szCs w:val="26"/>
        </w:rPr>
        <w:t xml:space="preserve">Chodzi, w pierwszym rzędzie, o „wydziedziczenie” i, w </w:t>
      </w:r>
      <w:r w:rsidR="00FA2D63">
        <w:rPr>
          <w:sz w:val="26"/>
          <w:szCs w:val="26"/>
        </w:rPr>
        <w:t>drugim</w:t>
      </w:r>
      <w:r w:rsidR="00553B63">
        <w:rPr>
          <w:sz w:val="26"/>
          <w:szCs w:val="26"/>
        </w:rPr>
        <w:t xml:space="preserve"> o</w:t>
      </w:r>
      <w:r w:rsidR="00C814A5">
        <w:rPr>
          <w:sz w:val="26"/>
          <w:szCs w:val="26"/>
        </w:rPr>
        <w:t xml:space="preserve"> „niegodność dziedziczenia”</w:t>
      </w:r>
      <w:r>
        <w:rPr>
          <w:sz w:val="26"/>
          <w:szCs w:val="26"/>
        </w:rPr>
        <w:t xml:space="preserve">. Stwierdzenia tego w żadnym razie nie podważa dopuszczenie oddalenia </w:t>
      </w:r>
      <w:r>
        <w:rPr>
          <w:sz w:val="26"/>
          <w:szCs w:val="26"/>
        </w:rPr>
        <w:lastRenderedPageBreak/>
        <w:t>żądania zachowk</w:t>
      </w:r>
      <w:r w:rsidR="00553B63">
        <w:rPr>
          <w:sz w:val="26"/>
          <w:szCs w:val="26"/>
        </w:rPr>
        <w:t>u na podstawie art. 5 k.c. N</w:t>
      </w:r>
      <w:r w:rsidR="00446EBE">
        <w:rPr>
          <w:sz w:val="26"/>
          <w:szCs w:val="26"/>
        </w:rPr>
        <w:t xml:space="preserve">ie chodzi tu </w:t>
      </w:r>
      <w:r w:rsidR="00553B63">
        <w:rPr>
          <w:sz w:val="26"/>
          <w:szCs w:val="26"/>
        </w:rPr>
        <w:t xml:space="preserve">przecież </w:t>
      </w:r>
      <w:r w:rsidR="00446EBE">
        <w:rPr>
          <w:sz w:val="26"/>
          <w:szCs w:val="26"/>
        </w:rPr>
        <w:t>o kolejny przypadek pozbawienia prawa do zachowku</w:t>
      </w:r>
      <w:r>
        <w:rPr>
          <w:sz w:val="26"/>
          <w:szCs w:val="26"/>
        </w:rPr>
        <w:t xml:space="preserve"> </w:t>
      </w:r>
      <w:r w:rsidR="00446EBE">
        <w:rPr>
          <w:sz w:val="26"/>
          <w:szCs w:val="26"/>
        </w:rPr>
        <w:t>(</w:t>
      </w:r>
      <w:r>
        <w:rPr>
          <w:sz w:val="26"/>
          <w:szCs w:val="26"/>
        </w:rPr>
        <w:t xml:space="preserve">takie „oddalenie” prawa </w:t>
      </w:r>
      <w:r w:rsidR="00446EBE">
        <w:rPr>
          <w:sz w:val="26"/>
          <w:szCs w:val="26"/>
        </w:rPr>
        <w:t xml:space="preserve">przecież </w:t>
      </w:r>
      <w:r>
        <w:rPr>
          <w:sz w:val="26"/>
          <w:szCs w:val="26"/>
        </w:rPr>
        <w:t>nie pozbawia</w:t>
      </w:r>
      <w:r w:rsidR="00446EBE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D5E3D" w:rsidRPr="00404FA7" w:rsidRDefault="00DD5E3D" w:rsidP="00404FA7">
      <w:pPr>
        <w:jc w:val="both"/>
        <w:rPr>
          <w:sz w:val="26"/>
          <w:szCs w:val="26"/>
        </w:rPr>
      </w:pPr>
    </w:p>
    <w:sectPr w:rsidR="00DD5E3D" w:rsidRPr="00404F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19" w:rsidRDefault="00B03119" w:rsidP="001E3141">
      <w:pPr>
        <w:spacing w:after="0" w:line="240" w:lineRule="auto"/>
      </w:pPr>
      <w:r>
        <w:separator/>
      </w:r>
    </w:p>
  </w:endnote>
  <w:endnote w:type="continuationSeparator" w:id="0">
    <w:p w:rsidR="00B03119" w:rsidRDefault="00B03119" w:rsidP="001E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19" w:rsidRDefault="00B03119" w:rsidP="001E3141">
      <w:pPr>
        <w:spacing w:after="0" w:line="240" w:lineRule="auto"/>
      </w:pPr>
      <w:r>
        <w:separator/>
      </w:r>
    </w:p>
  </w:footnote>
  <w:footnote w:type="continuationSeparator" w:id="0">
    <w:p w:rsidR="00B03119" w:rsidRDefault="00B03119" w:rsidP="001E3141">
      <w:pPr>
        <w:spacing w:after="0" w:line="240" w:lineRule="auto"/>
      </w:pPr>
      <w:r>
        <w:continuationSeparator/>
      </w:r>
    </w:p>
  </w:footnote>
  <w:footnote w:id="1">
    <w:p w:rsidR="00B93D31" w:rsidRDefault="00B93D31" w:rsidP="00F018F1">
      <w:pPr>
        <w:pStyle w:val="Tekstprzypisudolnego"/>
        <w:jc w:val="both"/>
      </w:pPr>
      <w:r>
        <w:rPr>
          <w:rStyle w:val="Odwoanieprzypisudolnego"/>
        </w:rPr>
        <w:footnoteRef/>
      </w:r>
      <w:r w:rsidR="00646A69">
        <w:t xml:space="preserve"> OSNC 2019/A/14, Legalis</w:t>
      </w:r>
      <w:r>
        <w:t>.</w:t>
      </w:r>
    </w:p>
  </w:footnote>
  <w:footnote w:id="2">
    <w:p w:rsidR="00CF6196" w:rsidRDefault="00CF6196" w:rsidP="00F018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E3962">
        <w:t>Pojawiają się już krytyczne wypowiedzi</w:t>
      </w:r>
      <w:r w:rsidR="00E620D3">
        <w:t xml:space="preserve"> w tej sprawie. Zob. </w:t>
      </w:r>
      <w:r w:rsidR="00F018F1">
        <w:t xml:space="preserve">A. Tomczyk, </w:t>
      </w:r>
      <w:r w:rsidR="00F018F1" w:rsidRPr="00F018F1">
        <w:rPr>
          <w:i/>
        </w:rPr>
        <w:t>Skutki cywilnoprawne naruszenia norm moralnych między osobami bliskimi</w:t>
      </w:r>
      <w:r w:rsidR="00F018F1">
        <w:t xml:space="preserve">, Warszawa 2020, s. 47; P.Zielonka, </w:t>
      </w:r>
      <w:r w:rsidR="00F018F1" w:rsidRPr="00F018F1">
        <w:rPr>
          <w:i/>
        </w:rPr>
        <w:t>Zarzut nadużycia prawa podmiotowego a pozbawienie prawa do zachowku. Glosa do wyroku Sądu Najwyższego z dnia 28 marca 2018 r. V CSK 428/17,</w:t>
      </w:r>
      <w:r w:rsidR="004E3962">
        <w:t xml:space="preserve"> Przegląd Prawa i A</w:t>
      </w:r>
      <w:r w:rsidR="00F018F1">
        <w:t xml:space="preserve">dministracji 2021, nr 126, s. 365 i n. </w:t>
      </w:r>
    </w:p>
  </w:footnote>
  <w:footnote w:id="3">
    <w:p w:rsidR="004E3962" w:rsidRDefault="004E3962" w:rsidP="004E39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szeroko T.Justyński, </w:t>
      </w:r>
      <w:r>
        <w:rPr>
          <w:i/>
        </w:rPr>
        <w:t>Naduży</w:t>
      </w:r>
      <w:r w:rsidRPr="00E465E5">
        <w:rPr>
          <w:i/>
        </w:rPr>
        <w:t>cie prawa podmiotowego w polskim prawie cywilnym</w:t>
      </w:r>
      <w:r>
        <w:t>, Kraków 2000, s. 83 i n.</w:t>
      </w:r>
    </w:p>
  </w:footnote>
  <w:footnote w:id="4">
    <w:p w:rsidR="007D1605" w:rsidRDefault="007D1605" w:rsidP="002D49EA">
      <w:pPr>
        <w:pStyle w:val="Tekstprzypisudolnego"/>
        <w:jc w:val="both"/>
      </w:pPr>
      <w:r>
        <w:rPr>
          <w:rStyle w:val="Odwoanieprzypisudolnego"/>
        </w:rPr>
        <w:footnoteRef/>
      </w:r>
      <w:r w:rsidR="004630A6">
        <w:t xml:space="preserve"> Przykładowo w uchwale z dnia 15 marca 2018 r. (III CZP 110/17) </w:t>
      </w:r>
      <w:r>
        <w:t xml:space="preserve">w sprawie terminu złożenia oświadczenia o przyjęciu spadku (w imieniu dziecka) </w:t>
      </w:r>
      <w:r w:rsidR="004E3962">
        <w:t>SN zignorował</w:t>
      </w:r>
      <w:r w:rsidR="00F018F1">
        <w:t xml:space="preserve"> </w:t>
      </w:r>
      <w:r>
        <w:t xml:space="preserve">wszystkie z trudem wypracowane zasady </w:t>
      </w:r>
      <w:r w:rsidR="00C82DF0">
        <w:t>i potraktował przepis art. 5</w:t>
      </w:r>
      <w:r w:rsidR="00E12434">
        <w:t xml:space="preserve"> k.c.</w:t>
      </w:r>
      <w:r w:rsidR="00C82DF0">
        <w:t xml:space="preserve"> jako upoważniający do </w:t>
      </w:r>
      <w:r w:rsidR="002D49EA">
        <w:t>„</w:t>
      </w:r>
      <w:r w:rsidR="00C82DF0">
        <w:t>orzekania s</w:t>
      </w:r>
      <w:r w:rsidR="00D96C05">
        <w:t>ł</w:t>
      </w:r>
      <w:r w:rsidR="00C82DF0">
        <w:t>usznościowego</w:t>
      </w:r>
      <w:r w:rsidR="002D49EA">
        <w:t>”</w:t>
      </w:r>
      <w:r w:rsidR="00C82DF0">
        <w:t xml:space="preserve">, gdy pojawia się niesprawiedliwość prawa stanowionego. </w:t>
      </w:r>
      <w:r w:rsidR="004630A6">
        <w:t>Zob. szerzej T.Justyński</w:t>
      </w:r>
      <w:r w:rsidR="004630A6" w:rsidRPr="004630A6">
        <w:rPr>
          <w:i/>
        </w:rPr>
        <w:t>,</w:t>
      </w:r>
      <w:r w:rsidR="004630A6">
        <w:t xml:space="preserve"> </w:t>
      </w:r>
      <w:r w:rsidR="004630A6" w:rsidRPr="004630A6">
        <w:rPr>
          <w:i/>
        </w:rPr>
        <w:t>Nadużycie prawa a terminy zawite do odrzucenia spadku oraz uchylenia się od skutków niezłożenia oś</w:t>
      </w:r>
      <w:r w:rsidR="004630A6">
        <w:rPr>
          <w:i/>
        </w:rPr>
        <w:t>wiadczenia.</w:t>
      </w:r>
      <w:r w:rsidR="004630A6">
        <w:t xml:space="preserve"> </w:t>
      </w:r>
      <w:r w:rsidR="004630A6">
        <w:rPr>
          <w:i/>
        </w:rPr>
        <w:t>G</w:t>
      </w:r>
      <w:r w:rsidR="004630A6" w:rsidRPr="004630A6">
        <w:rPr>
          <w:i/>
        </w:rPr>
        <w:t>losa do uchwały SN z dnia 15 marca 2018 r., III CZP 110/17</w:t>
      </w:r>
      <w:r w:rsidR="004630A6">
        <w:rPr>
          <w:i/>
        </w:rPr>
        <w:t xml:space="preserve">, </w:t>
      </w:r>
      <w:r w:rsidR="004630A6">
        <w:t xml:space="preserve">OSP 2019, z. 10. </w:t>
      </w:r>
    </w:p>
  </w:footnote>
  <w:footnote w:id="5">
    <w:p w:rsidR="005E445F" w:rsidRDefault="005E445F" w:rsidP="002D49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Szerzej. T.Justyński, </w:t>
      </w:r>
      <w:r w:rsidR="005C40C6" w:rsidRPr="005C40C6">
        <w:rPr>
          <w:i/>
        </w:rPr>
        <w:t>Glosa do wyroku SN z dnia 16 czerwca 2016 r., V CSK 625/15</w:t>
      </w:r>
      <w:r w:rsidR="005C40C6">
        <w:t xml:space="preserve">, OSP 2017/2; zob. też P.Księżak, </w:t>
      </w:r>
      <w:r w:rsidR="005C40C6" w:rsidRPr="005C40C6">
        <w:rPr>
          <w:i/>
        </w:rPr>
        <w:t>Zachowek w polskim prawie spadkowym</w:t>
      </w:r>
      <w:r w:rsidR="005C40C6">
        <w:t>, Warszaw</w:t>
      </w:r>
      <w:r w:rsidR="004E3962">
        <w:t>a</w:t>
      </w:r>
      <w:r w:rsidR="005C40C6">
        <w:t xml:space="preserve"> 2010, s. 358-359.</w:t>
      </w:r>
    </w:p>
  </w:footnote>
  <w:footnote w:id="6">
    <w:p w:rsidR="001819FB" w:rsidRDefault="001819FB" w:rsidP="00E6033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090563">
        <w:t xml:space="preserve">W piśmiennictwie toczony jest spór zarówno o to, czy chronione jest prawo spadkobiercy do „odziedziczenia” czy może tylko  prawo spadkodawcy do przekazania majątku </w:t>
      </w:r>
      <w:r w:rsidR="00090563" w:rsidRPr="00090563">
        <w:rPr>
          <w:i/>
        </w:rPr>
        <w:t>mortis causa</w:t>
      </w:r>
      <w:r w:rsidR="00090563">
        <w:t xml:space="preserve">, a także o to czy sama figura zachowku jako taka jest chroniona konstytucyjnie. </w:t>
      </w:r>
      <w:r>
        <w:t>Szerzej na ten temat</w:t>
      </w:r>
      <w:r w:rsidR="005C40C6">
        <w:t xml:space="preserve"> T.Justyński w </w:t>
      </w:r>
      <w:r w:rsidR="005C40C6" w:rsidRPr="005C40C6">
        <w:rPr>
          <w:i/>
        </w:rPr>
        <w:t>glosie do wyroku</w:t>
      </w:r>
      <w:r w:rsidRPr="005C40C6">
        <w:rPr>
          <w:i/>
        </w:rPr>
        <w:t xml:space="preserve"> TK</w:t>
      </w:r>
      <w:r w:rsidR="005C40C6" w:rsidRPr="005C40C6">
        <w:rPr>
          <w:i/>
        </w:rPr>
        <w:t xml:space="preserve"> z dnia 25 lipca 2013 r., (P</w:t>
      </w:r>
      <w:r w:rsidR="004E3962">
        <w:rPr>
          <w:i/>
        </w:rPr>
        <w:t xml:space="preserve"> </w:t>
      </w:r>
      <w:r w:rsidR="005C40C6" w:rsidRPr="005C40C6">
        <w:rPr>
          <w:i/>
        </w:rPr>
        <w:t>56/11)</w:t>
      </w:r>
      <w:r w:rsidR="005C40C6">
        <w:t xml:space="preserve">, OSP 2019, nr 3, poz. 23, szczególnie s. 5 – 7. Zob. też B.Banaszak, </w:t>
      </w:r>
      <w:r w:rsidR="005C40C6" w:rsidRPr="005C40C6">
        <w:rPr>
          <w:i/>
        </w:rPr>
        <w:t>Konstytucja Rzeczypospolitej Polskiej. Komentarz,</w:t>
      </w:r>
      <w:r w:rsidR="005C40C6">
        <w:t xml:space="preserve"> Warszawa 2012, s. 167, teza 3 do art.</w:t>
      </w:r>
      <w:r w:rsidR="004E3962">
        <w:t xml:space="preserve"> </w:t>
      </w:r>
      <w:r w:rsidR="005C40C6">
        <w:t>21.</w:t>
      </w:r>
    </w:p>
  </w:footnote>
  <w:footnote w:id="7">
    <w:p w:rsidR="00824DA4" w:rsidRDefault="00824DA4" w:rsidP="00E6033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60331">
        <w:rPr>
          <w:i/>
        </w:rPr>
        <w:t>Nota bene</w:t>
      </w:r>
      <w:r>
        <w:t xml:space="preserve"> dopuszczalność odwołania się do konstrukcji niegodności dziedziczenia jest w przypadku zachowku dyskusyjna i musiałaby oznaczać stosowanie </w:t>
      </w:r>
      <w:r w:rsidRPr="00E60331">
        <w:rPr>
          <w:i/>
        </w:rPr>
        <w:t>per analogiam</w:t>
      </w:r>
      <w:r>
        <w:t>, skoro brak</w:t>
      </w:r>
      <w:r w:rsidR="007D2C47">
        <w:t xml:space="preserve"> jest wyraźnego przepisu jak</w:t>
      </w:r>
      <w:r>
        <w:t xml:space="preserve"> w </w:t>
      </w:r>
      <w:r w:rsidR="005C40C6">
        <w:t xml:space="preserve">przypadku zapisu zwykłego (art. 972 </w:t>
      </w:r>
      <w:r>
        <w:t>k.c.) c</w:t>
      </w:r>
      <w:r w:rsidR="005C40C6">
        <w:t xml:space="preserve">zy zapisu windykacyjnego (art. 981 zn. 5 </w:t>
      </w:r>
      <w:r>
        <w:t xml:space="preserve">k.c.). </w:t>
      </w:r>
    </w:p>
  </w:footnote>
  <w:footnote w:id="8">
    <w:p w:rsidR="00E3670F" w:rsidRDefault="00E3670F" w:rsidP="00446E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T.Justyński, </w:t>
      </w:r>
      <w:r w:rsidRPr="005C40C6">
        <w:rPr>
          <w:i/>
        </w:rPr>
        <w:t>Nadużycie prawa</w:t>
      </w:r>
      <w:r w:rsidR="00C814A5">
        <w:t>…, s. 85 i n.</w:t>
      </w:r>
    </w:p>
  </w:footnote>
  <w:footnote w:id="9">
    <w:p w:rsidR="00E3670F" w:rsidRDefault="00E3670F" w:rsidP="00446EBE">
      <w:pPr>
        <w:pStyle w:val="Tekstprzypisudolnego"/>
        <w:jc w:val="both"/>
      </w:pPr>
      <w:r>
        <w:rPr>
          <w:rStyle w:val="Odwoanieprzypisudolnego"/>
        </w:rPr>
        <w:footnoteRef/>
      </w:r>
      <w:r w:rsidR="00446EBE">
        <w:t xml:space="preserve"> A </w:t>
      </w:r>
      <w:r w:rsidR="00446EBE" w:rsidRPr="005C40C6">
        <w:rPr>
          <w:i/>
        </w:rPr>
        <w:t>ukształtowane</w:t>
      </w:r>
      <w:r w:rsidRPr="005C40C6">
        <w:rPr>
          <w:i/>
        </w:rPr>
        <w:t xml:space="preserve"> w kodyfikacjach europejskich jeszcze w końcówce XIX wieku. Z</w:t>
      </w:r>
      <w:r w:rsidR="005C40C6" w:rsidRPr="005C40C6">
        <w:rPr>
          <w:i/>
        </w:rPr>
        <w:t>ob. szerzej P.Księżak, Zachowek</w:t>
      </w:r>
      <w:r w:rsidR="005C40C6">
        <w:t>…, s. 32 i n</w:t>
      </w:r>
      <w:r>
        <w:t>.</w:t>
      </w:r>
    </w:p>
  </w:footnote>
  <w:footnote w:id="10">
    <w:p w:rsidR="00E60331" w:rsidRDefault="00E60331" w:rsidP="00446E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</w:t>
      </w:r>
      <w:r w:rsidR="005C40C6">
        <w:t xml:space="preserve">or. T.Justyński, </w:t>
      </w:r>
      <w:r w:rsidR="005C40C6" w:rsidRPr="00FA2D63">
        <w:rPr>
          <w:i/>
        </w:rPr>
        <w:t>Uprzywilejowana wysokość zachowku w polskim prawie spadkowym (w świetle art. 991 k.c.) na</w:t>
      </w:r>
      <w:r w:rsidR="002D49EA">
        <w:rPr>
          <w:i/>
        </w:rPr>
        <w:t xml:space="preserve"> </w:t>
      </w:r>
      <w:r w:rsidR="005C40C6" w:rsidRPr="00FA2D63">
        <w:rPr>
          <w:i/>
        </w:rPr>
        <w:t>tle współczesnych tendencji rozwojowych</w:t>
      </w:r>
      <w:r w:rsidR="00FA2D63" w:rsidRPr="00FA2D63">
        <w:rPr>
          <w:i/>
        </w:rPr>
        <w:t xml:space="preserve"> </w:t>
      </w:r>
      <w:r w:rsidR="00FA2D63" w:rsidRPr="00FA2D63">
        <w:t>[w:] J.M. Łukasiewicz, M.Załucki (red.)</w:t>
      </w:r>
      <w:r w:rsidR="00FA2D63">
        <w:t>,</w:t>
      </w:r>
      <w:r w:rsidR="00FA2D63" w:rsidRPr="00FA2D63">
        <w:rPr>
          <w:i/>
        </w:rPr>
        <w:t xml:space="preserve"> Prawo rodzinne i spadkowe wobec współczesnych zjawisk technologicznych i społecznych</w:t>
      </w:r>
      <w:r w:rsidR="00FA2D63">
        <w:t>, Toruń 2018.</w:t>
      </w:r>
    </w:p>
  </w:footnote>
  <w:footnote w:id="11">
    <w:p w:rsidR="00D83A69" w:rsidRPr="00FA2D63" w:rsidRDefault="00D83A69" w:rsidP="00FA2D63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Warto jedynie zasygnalizować, że zupełnie nieprzystające do aktualnej rzeczywistości jest ukształtowanie tzw. </w:t>
      </w:r>
      <w:r w:rsidR="00446EBE">
        <w:t>„</w:t>
      </w:r>
      <w:r>
        <w:t>uprzywilejowanego zachowku</w:t>
      </w:r>
      <w:r w:rsidR="00446EBE">
        <w:t>”</w:t>
      </w:r>
      <w:r w:rsidR="00FA2D63">
        <w:t xml:space="preserve"> (art. 991 </w:t>
      </w:r>
      <w:r w:rsidR="00FA2D63">
        <w:rPr>
          <w:rFonts w:cstheme="minorHAnsi"/>
        </w:rPr>
        <w:t>§</w:t>
      </w:r>
      <w:r w:rsidR="00FA2D63">
        <w:t xml:space="preserve"> 1 </w:t>
      </w:r>
      <w:r>
        <w:t>k.c.)</w:t>
      </w:r>
      <w:r w:rsidR="00446EBE">
        <w:t>.</w:t>
      </w:r>
      <w:r>
        <w:t xml:space="preserve"> </w:t>
      </w:r>
      <w:r w:rsidR="00FA2D63">
        <w:t xml:space="preserve">Szerzej na ten temat T.Justyński, </w:t>
      </w:r>
      <w:r w:rsidR="004630A6">
        <w:rPr>
          <w:i/>
        </w:rPr>
        <w:t>Glosa do wyroku Sądu Apelacjnego w Gdańsku z dnia 11 stycznia 2013 r., V ACa 989/12</w:t>
      </w:r>
      <w:r w:rsidR="004630A6" w:rsidRPr="004630A6">
        <w:t>, OSP 2017, nr 11.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214607629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93D31" w:rsidRDefault="00B93D31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630A6" w:rsidRPr="004630A6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:rsidR="00B93D31" w:rsidRDefault="00B93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EAF"/>
    <w:multiLevelType w:val="hybridMultilevel"/>
    <w:tmpl w:val="37F0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E36"/>
    <w:multiLevelType w:val="hybridMultilevel"/>
    <w:tmpl w:val="1A3E0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35B0"/>
    <w:multiLevelType w:val="hybridMultilevel"/>
    <w:tmpl w:val="3EE2E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4013"/>
    <w:multiLevelType w:val="hybridMultilevel"/>
    <w:tmpl w:val="C9067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0BE4"/>
    <w:multiLevelType w:val="hybridMultilevel"/>
    <w:tmpl w:val="CF5C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05E1A"/>
    <w:multiLevelType w:val="hybridMultilevel"/>
    <w:tmpl w:val="7A68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714F"/>
    <w:multiLevelType w:val="hybridMultilevel"/>
    <w:tmpl w:val="D3169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003AE"/>
    <w:multiLevelType w:val="hybridMultilevel"/>
    <w:tmpl w:val="5298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8594C"/>
    <w:multiLevelType w:val="hybridMultilevel"/>
    <w:tmpl w:val="84729D90"/>
    <w:lvl w:ilvl="0" w:tplc="3E1AD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9028A"/>
    <w:multiLevelType w:val="hybridMultilevel"/>
    <w:tmpl w:val="F102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86FF5"/>
    <w:multiLevelType w:val="hybridMultilevel"/>
    <w:tmpl w:val="775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34DE"/>
    <w:multiLevelType w:val="hybridMultilevel"/>
    <w:tmpl w:val="74A45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67C70"/>
    <w:multiLevelType w:val="hybridMultilevel"/>
    <w:tmpl w:val="0458E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E2327"/>
    <w:multiLevelType w:val="hybridMultilevel"/>
    <w:tmpl w:val="CF1A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91AAE"/>
    <w:multiLevelType w:val="hybridMultilevel"/>
    <w:tmpl w:val="16564EBC"/>
    <w:lvl w:ilvl="0" w:tplc="BCFC9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41045"/>
    <w:multiLevelType w:val="hybridMultilevel"/>
    <w:tmpl w:val="5652078C"/>
    <w:lvl w:ilvl="0" w:tplc="A70AB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85D94"/>
    <w:multiLevelType w:val="hybridMultilevel"/>
    <w:tmpl w:val="C34E2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150D"/>
    <w:multiLevelType w:val="hybridMultilevel"/>
    <w:tmpl w:val="FC2E2E1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7D1490"/>
    <w:multiLevelType w:val="hybridMultilevel"/>
    <w:tmpl w:val="57061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13C5D"/>
    <w:multiLevelType w:val="hybridMultilevel"/>
    <w:tmpl w:val="BABC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F438F"/>
    <w:multiLevelType w:val="hybridMultilevel"/>
    <w:tmpl w:val="1D047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708FC"/>
    <w:multiLevelType w:val="hybridMultilevel"/>
    <w:tmpl w:val="E556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C0F5D"/>
    <w:multiLevelType w:val="hybridMultilevel"/>
    <w:tmpl w:val="2EF0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94DD9"/>
    <w:multiLevelType w:val="hybridMultilevel"/>
    <w:tmpl w:val="FA0A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C08"/>
    <w:multiLevelType w:val="hybridMultilevel"/>
    <w:tmpl w:val="97F0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90837"/>
    <w:multiLevelType w:val="hybridMultilevel"/>
    <w:tmpl w:val="A29E1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42498"/>
    <w:multiLevelType w:val="hybridMultilevel"/>
    <w:tmpl w:val="BA8C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C7140"/>
    <w:multiLevelType w:val="hybridMultilevel"/>
    <w:tmpl w:val="DC60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04741"/>
    <w:multiLevelType w:val="hybridMultilevel"/>
    <w:tmpl w:val="6748A472"/>
    <w:lvl w:ilvl="0" w:tplc="FE6C2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77433"/>
    <w:multiLevelType w:val="hybridMultilevel"/>
    <w:tmpl w:val="1248B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424D8"/>
    <w:multiLevelType w:val="hybridMultilevel"/>
    <w:tmpl w:val="EADE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2"/>
  </w:num>
  <w:num w:numId="5">
    <w:abstractNumId w:val="24"/>
  </w:num>
  <w:num w:numId="6">
    <w:abstractNumId w:val="3"/>
  </w:num>
  <w:num w:numId="7">
    <w:abstractNumId w:val="0"/>
  </w:num>
  <w:num w:numId="8">
    <w:abstractNumId w:val="27"/>
  </w:num>
  <w:num w:numId="9">
    <w:abstractNumId w:val="6"/>
  </w:num>
  <w:num w:numId="10">
    <w:abstractNumId w:val="23"/>
  </w:num>
  <w:num w:numId="11">
    <w:abstractNumId w:val="15"/>
  </w:num>
  <w:num w:numId="12">
    <w:abstractNumId w:val="10"/>
  </w:num>
  <w:num w:numId="13">
    <w:abstractNumId w:val="8"/>
  </w:num>
  <w:num w:numId="14">
    <w:abstractNumId w:val="11"/>
  </w:num>
  <w:num w:numId="15">
    <w:abstractNumId w:val="14"/>
  </w:num>
  <w:num w:numId="16">
    <w:abstractNumId w:val="21"/>
  </w:num>
  <w:num w:numId="17">
    <w:abstractNumId w:val="4"/>
  </w:num>
  <w:num w:numId="18">
    <w:abstractNumId w:val="19"/>
  </w:num>
  <w:num w:numId="19">
    <w:abstractNumId w:val="29"/>
  </w:num>
  <w:num w:numId="20">
    <w:abstractNumId w:val="2"/>
  </w:num>
  <w:num w:numId="21">
    <w:abstractNumId w:val="28"/>
  </w:num>
  <w:num w:numId="22">
    <w:abstractNumId w:val="12"/>
  </w:num>
  <w:num w:numId="23">
    <w:abstractNumId w:val="16"/>
  </w:num>
  <w:num w:numId="24">
    <w:abstractNumId w:val="9"/>
  </w:num>
  <w:num w:numId="25">
    <w:abstractNumId w:val="18"/>
  </w:num>
  <w:num w:numId="26">
    <w:abstractNumId w:val="7"/>
  </w:num>
  <w:num w:numId="27">
    <w:abstractNumId w:val="13"/>
  </w:num>
  <w:num w:numId="28">
    <w:abstractNumId w:val="26"/>
  </w:num>
  <w:num w:numId="29">
    <w:abstractNumId w:val="25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41"/>
    <w:rsid w:val="00004075"/>
    <w:rsid w:val="000053CA"/>
    <w:rsid w:val="00005F7D"/>
    <w:rsid w:val="000068D6"/>
    <w:rsid w:val="00010C21"/>
    <w:rsid w:val="00011F23"/>
    <w:rsid w:val="0001245D"/>
    <w:rsid w:val="00013EDA"/>
    <w:rsid w:val="000167B0"/>
    <w:rsid w:val="00017754"/>
    <w:rsid w:val="000215D4"/>
    <w:rsid w:val="000235B5"/>
    <w:rsid w:val="0002506E"/>
    <w:rsid w:val="00026638"/>
    <w:rsid w:val="0003071E"/>
    <w:rsid w:val="00031445"/>
    <w:rsid w:val="00031DC4"/>
    <w:rsid w:val="0003358D"/>
    <w:rsid w:val="00034F52"/>
    <w:rsid w:val="00035630"/>
    <w:rsid w:val="0003587B"/>
    <w:rsid w:val="00037DA6"/>
    <w:rsid w:val="00042565"/>
    <w:rsid w:val="000461E4"/>
    <w:rsid w:val="000471C4"/>
    <w:rsid w:val="0004756F"/>
    <w:rsid w:val="00050C0F"/>
    <w:rsid w:val="00051F02"/>
    <w:rsid w:val="000531D5"/>
    <w:rsid w:val="00053BA2"/>
    <w:rsid w:val="0005658A"/>
    <w:rsid w:val="00057E39"/>
    <w:rsid w:val="00060143"/>
    <w:rsid w:val="000603C8"/>
    <w:rsid w:val="0006176D"/>
    <w:rsid w:val="000646FF"/>
    <w:rsid w:val="0006788A"/>
    <w:rsid w:val="00067B02"/>
    <w:rsid w:val="00067D78"/>
    <w:rsid w:val="000753C2"/>
    <w:rsid w:val="000757EC"/>
    <w:rsid w:val="00080619"/>
    <w:rsid w:val="00083248"/>
    <w:rsid w:val="00083320"/>
    <w:rsid w:val="00084D79"/>
    <w:rsid w:val="00090563"/>
    <w:rsid w:val="00094565"/>
    <w:rsid w:val="000946D5"/>
    <w:rsid w:val="0009547A"/>
    <w:rsid w:val="000962F6"/>
    <w:rsid w:val="000A1501"/>
    <w:rsid w:val="000A775A"/>
    <w:rsid w:val="000B132D"/>
    <w:rsid w:val="000B268A"/>
    <w:rsid w:val="000B3BBF"/>
    <w:rsid w:val="000B44B1"/>
    <w:rsid w:val="000B4D68"/>
    <w:rsid w:val="000C08E5"/>
    <w:rsid w:val="000C09A6"/>
    <w:rsid w:val="000C16E0"/>
    <w:rsid w:val="000C1C97"/>
    <w:rsid w:val="000C33B4"/>
    <w:rsid w:val="000C3543"/>
    <w:rsid w:val="000C6C14"/>
    <w:rsid w:val="000C70D4"/>
    <w:rsid w:val="000D07AA"/>
    <w:rsid w:val="000D1757"/>
    <w:rsid w:val="000D42DE"/>
    <w:rsid w:val="000D4ED1"/>
    <w:rsid w:val="000D5C01"/>
    <w:rsid w:val="000D7352"/>
    <w:rsid w:val="000E08EC"/>
    <w:rsid w:val="000E33D1"/>
    <w:rsid w:val="000E4B40"/>
    <w:rsid w:val="000F0AF2"/>
    <w:rsid w:val="000F193C"/>
    <w:rsid w:val="000F2820"/>
    <w:rsid w:val="000F30C0"/>
    <w:rsid w:val="00104F80"/>
    <w:rsid w:val="00107661"/>
    <w:rsid w:val="00107A18"/>
    <w:rsid w:val="00111CFD"/>
    <w:rsid w:val="00115322"/>
    <w:rsid w:val="0011727D"/>
    <w:rsid w:val="00124BD0"/>
    <w:rsid w:val="001264A0"/>
    <w:rsid w:val="001265FC"/>
    <w:rsid w:val="0013084E"/>
    <w:rsid w:val="00135738"/>
    <w:rsid w:val="00135DF1"/>
    <w:rsid w:val="001367ED"/>
    <w:rsid w:val="00136FEB"/>
    <w:rsid w:val="00140051"/>
    <w:rsid w:val="00140CED"/>
    <w:rsid w:val="00143639"/>
    <w:rsid w:val="00144DF9"/>
    <w:rsid w:val="0014733E"/>
    <w:rsid w:val="00150BE3"/>
    <w:rsid w:val="001510D6"/>
    <w:rsid w:val="001529FB"/>
    <w:rsid w:val="0015426B"/>
    <w:rsid w:val="0015463A"/>
    <w:rsid w:val="0015476C"/>
    <w:rsid w:val="00156A67"/>
    <w:rsid w:val="00162CF8"/>
    <w:rsid w:val="0016639C"/>
    <w:rsid w:val="001666CC"/>
    <w:rsid w:val="00171800"/>
    <w:rsid w:val="0017346C"/>
    <w:rsid w:val="00174524"/>
    <w:rsid w:val="0017749A"/>
    <w:rsid w:val="001819FB"/>
    <w:rsid w:val="00187806"/>
    <w:rsid w:val="0019283C"/>
    <w:rsid w:val="001A13DF"/>
    <w:rsid w:val="001A1497"/>
    <w:rsid w:val="001A254F"/>
    <w:rsid w:val="001A3312"/>
    <w:rsid w:val="001A7E33"/>
    <w:rsid w:val="001B0FD5"/>
    <w:rsid w:val="001B5B53"/>
    <w:rsid w:val="001C2DBB"/>
    <w:rsid w:val="001C4DD5"/>
    <w:rsid w:val="001C62B8"/>
    <w:rsid w:val="001C7743"/>
    <w:rsid w:val="001D0E67"/>
    <w:rsid w:val="001D2347"/>
    <w:rsid w:val="001D38E9"/>
    <w:rsid w:val="001D4497"/>
    <w:rsid w:val="001E0C04"/>
    <w:rsid w:val="001E3141"/>
    <w:rsid w:val="001E4BF0"/>
    <w:rsid w:val="001E7027"/>
    <w:rsid w:val="001F2F7F"/>
    <w:rsid w:val="001F2FD9"/>
    <w:rsid w:val="001F5FAD"/>
    <w:rsid w:val="001F7D3D"/>
    <w:rsid w:val="002013F5"/>
    <w:rsid w:val="00205170"/>
    <w:rsid w:val="002058B7"/>
    <w:rsid w:val="00210255"/>
    <w:rsid w:val="00210576"/>
    <w:rsid w:val="00210D54"/>
    <w:rsid w:val="002145A5"/>
    <w:rsid w:val="00214FD7"/>
    <w:rsid w:val="00217F1F"/>
    <w:rsid w:val="00230707"/>
    <w:rsid w:val="00231D55"/>
    <w:rsid w:val="00232162"/>
    <w:rsid w:val="00234748"/>
    <w:rsid w:val="00234B12"/>
    <w:rsid w:val="00237B22"/>
    <w:rsid w:val="00243BD6"/>
    <w:rsid w:val="00243E9F"/>
    <w:rsid w:val="00243FA9"/>
    <w:rsid w:val="00247ECC"/>
    <w:rsid w:val="00250B78"/>
    <w:rsid w:val="002510C4"/>
    <w:rsid w:val="0025341E"/>
    <w:rsid w:val="002543BC"/>
    <w:rsid w:val="00254F53"/>
    <w:rsid w:val="00255549"/>
    <w:rsid w:val="00260643"/>
    <w:rsid w:val="00260B11"/>
    <w:rsid w:val="002621ED"/>
    <w:rsid w:val="00263C7A"/>
    <w:rsid w:val="00263EA2"/>
    <w:rsid w:val="00265D02"/>
    <w:rsid w:val="00265DAB"/>
    <w:rsid w:val="00267D88"/>
    <w:rsid w:val="00273D07"/>
    <w:rsid w:val="00274E34"/>
    <w:rsid w:val="00275A6F"/>
    <w:rsid w:val="00276A10"/>
    <w:rsid w:val="002802E9"/>
    <w:rsid w:val="00281E8C"/>
    <w:rsid w:val="00281EF3"/>
    <w:rsid w:val="00285D72"/>
    <w:rsid w:val="00285EB6"/>
    <w:rsid w:val="00287601"/>
    <w:rsid w:val="002926AF"/>
    <w:rsid w:val="002937EF"/>
    <w:rsid w:val="00293998"/>
    <w:rsid w:val="0029497B"/>
    <w:rsid w:val="00294D58"/>
    <w:rsid w:val="002A06B9"/>
    <w:rsid w:val="002A1F4D"/>
    <w:rsid w:val="002A467A"/>
    <w:rsid w:val="002A57DC"/>
    <w:rsid w:val="002A6282"/>
    <w:rsid w:val="002A65E0"/>
    <w:rsid w:val="002A714A"/>
    <w:rsid w:val="002B1926"/>
    <w:rsid w:val="002B3DAF"/>
    <w:rsid w:val="002B4C40"/>
    <w:rsid w:val="002B60D6"/>
    <w:rsid w:val="002C2CB9"/>
    <w:rsid w:val="002C4563"/>
    <w:rsid w:val="002C4FC2"/>
    <w:rsid w:val="002D08B7"/>
    <w:rsid w:val="002D3AEF"/>
    <w:rsid w:val="002D49EA"/>
    <w:rsid w:val="002D4FFE"/>
    <w:rsid w:val="002D658A"/>
    <w:rsid w:val="002E278C"/>
    <w:rsid w:val="002E3BC2"/>
    <w:rsid w:val="002E6412"/>
    <w:rsid w:val="002F187A"/>
    <w:rsid w:val="002F1A10"/>
    <w:rsid w:val="002F1A80"/>
    <w:rsid w:val="002F6E33"/>
    <w:rsid w:val="002F79D1"/>
    <w:rsid w:val="0030208B"/>
    <w:rsid w:val="00303150"/>
    <w:rsid w:val="003062B4"/>
    <w:rsid w:val="00306BF6"/>
    <w:rsid w:val="003073C9"/>
    <w:rsid w:val="003073DC"/>
    <w:rsid w:val="00311202"/>
    <w:rsid w:val="00320B98"/>
    <w:rsid w:val="00322F31"/>
    <w:rsid w:val="003253A3"/>
    <w:rsid w:val="00325866"/>
    <w:rsid w:val="003259C1"/>
    <w:rsid w:val="00337C75"/>
    <w:rsid w:val="00340904"/>
    <w:rsid w:val="00343ED4"/>
    <w:rsid w:val="00344B50"/>
    <w:rsid w:val="00345AFF"/>
    <w:rsid w:val="003465AA"/>
    <w:rsid w:val="00350537"/>
    <w:rsid w:val="003506FC"/>
    <w:rsid w:val="00350D96"/>
    <w:rsid w:val="0035245E"/>
    <w:rsid w:val="003537AF"/>
    <w:rsid w:val="003564A1"/>
    <w:rsid w:val="003565D8"/>
    <w:rsid w:val="003570C0"/>
    <w:rsid w:val="0036407B"/>
    <w:rsid w:val="003645DF"/>
    <w:rsid w:val="003655D3"/>
    <w:rsid w:val="00366B83"/>
    <w:rsid w:val="00370816"/>
    <w:rsid w:val="0037336C"/>
    <w:rsid w:val="003758E0"/>
    <w:rsid w:val="00375FF2"/>
    <w:rsid w:val="00377DA3"/>
    <w:rsid w:val="00380B59"/>
    <w:rsid w:val="0038167F"/>
    <w:rsid w:val="003840E0"/>
    <w:rsid w:val="00387F6E"/>
    <w:rsid w:val="00390FC4"/>
    <w:rsid w:val="003910F1"/>
    <w:rsid w:val="003930CA"/>
    <w:rsid w:val="00393109"/>
    <w:rsid w:val="003941F0"/>
    <w:rsid w:val="003945B0"/>
    <w:rsid w:val="00395947"/>
    <w:rsid w:val="00397D49"/>
    <w:rsid w:val="003A04FE"/>
    <w:rsid w:val="003A0947"/>
    <w:rsid w:val="003A2028"/>
    <w:rsid w:val="003A24EB"/>
    <w:rsid w:val="003A57ED"/>
    <w:rsid w:val="003A586F"/>
    <w:rsid w:val="003A7B69"/>
    <w:rsid w:val="003B0341"/>
    <w:rsid w:val="003B0652"/>
    <w:rsid w:val="003B0B37"/>
    <w:rsid w:val="003B2A76"/>
    <w:rsid w:val="003B2CA3"/>
    <w:rsid w:val="003B4494"/>
    <w:rsid w:val="003B743D"/>
    <w:rsid w:val="003C2BB5"/>
    <w:rsid w:val="003C3B7C"/>
    <w:rsid w:val="003C4E9A"/>
    <w:rsid w:val="003C52D0"/>
    <w:rsid w:val="003C6CBF"/>
    <w:rsid w:val="003D0125"/>
    <w:rsid w:val="003D320D"/>
    <w:rsid w:val="003D54A4"/>
    <w:rsid w:val="003E6F4A"/>
    <w:rsid w:val="003E7C16"/>
    <w:rsid w:val="003F5AAE"/>
    <w:rsid w:val="003F616A"/>
    <w:rsid w:val="004009CE"/>
    <w:rsid w:val="0040251B"/>
    <w:rsid w:val="00404FA7"/>
    <w:rsid w:val="0040561E"/>
    <w:rsid w:val="00406D81"/>
    <w:rsid w:val="00411542"/>
    <w:rsid w:val="004122A2"/>
    <w:rsid w:val="004159CD"/>
    <w:rsid w:val="004176B4"/>
    <w:rsid w:val="004206DD"/>
    <w:rsid w:val="00423715"/>
    <w:rsid w:val="00426A85"/>
    <w:rsid w:val="00427C71"/>
    <w:rsid w:val="004316DC"/>
    <w:rsid w:val="00431DD8"/>
    <w:rsid w:val="00436683"/>
    <w:rsid w:val="00442804"/>
    <w:rsid w:val="00445F0A"/>
    <w:rsid w:val="00446EBE"/>
    <w:rsid w:val="00447FB7"/>
    <w:rsid w:val="004503AB"/>
    <w:rsid w:val="004521E0"/>
    <w:rsid w:val="00453D6B"/>
    <w:rsid w:val="00455327"/>
    <w:rsid w:val="00456574"/>
    <w:rsid w:val="00456BD4"/>
    <w:rsid w:val="00457EAC"/>
    <w:rsid w:val="004601D8"/>
    <w:rsid w:val="00460552"/>
    <w:rsid w:val="004630A6"/>
    <w:rsid w:val="00465A55"/>
    <w:rsid w:val="00466DAA"/>
    <w:rsid w:val="00466FBF"/>
    <w:rsid w:val="0047008E"/>
    <w:rsid w:val="00470ABE"/>
    <w:rsid w:val="00471567"/>
    <w:rsid w:val="00472253"/>
    <w:rsid w:val="00472C05"/>
    <w:rsid w:val="0047406E"/>
    <w:rsid w:val="00477A64"/>
    <w:rsid w:val="00481667"/>
    <w:rsid w:val="00481C20"/>
    <w:rsid w:val="004820C1"/>
    <w:rsid w:val="00483E64"/>
    <w:rsid w:val="004843FE"/>
    <w:rsid w:val="00484515"/>
    <w:rsid w:val="00486944"/>
    <w:rsid w:val="0048716F"/>
    <w:rsid w:val="00492B05"/>
    <w:rsid w:val="004932E8"/>
    <w:rsid w:val="00493EF5"/>
    <w:rsid w:val="00494B7A"/>
    <w:rsid w:val="00497E2F"/>
    <w:rsid w:val="004A0981"/>
    <w:rsid w:val="004A0A5F"/>
    <w:rsid w:val="004A363D"/>
    <w:rsid w:val="004B0560"/>
    <w:rsid w:val="004B195D"/>
    <w:rsid w:val="004B5847"/>
    <w:rsid w:val="004B7DB5"/>
    <w:rsid w:val="004C349D"/>
    <w:rsid w:val="004C466B"/>
    <w:rsid w:val="004D1232"/>
    <w:rsid w:val="004D2C7E"/>
    <w:rsid w:val="004D7248"/>
    <w:rsid w:val="004E0BED"/>
    <w:rsid w:val="004E3012"/>
    <w:rsid w:val="004E3962"/>
    <w:rsid w:val="004E4C6A"/>
    <w:rsid w:val="004F1488"/>
    <w:rsid w:val="004F4FEF"/>
    <w:rsid w:val="004F61D1"/>
    <w:rsid w:val="004F6202"/>
    <w:rsid w:val="004F6564"/>
    <w:rsid w:val="00501C3B"/>
    <w:rsid w:val="00503604"/>
    <w:rsid w:val="0051026E"/>
    <w:rsid w:val="00510E0C"/>
    <w:rsid w:val="00521635"/>
    <w:rsid w:val="00521B77"/>
    <w:rsid w:val="00523DB6"/>
    <w:rsid w:val="005253A5"/>
    <w:rsid w:val="00532115"/>
    <w:rsid w:val="005328BB"/>
    <w:rsid w:val="005333B5"/>
    <w:rsid w:val="00533A1C"/>
    <w:rsid w:val="005340C3"/>
    <w:rsid w:val="005349FA"/>
    <w:rsid w:val="00537F1A"/>
    <w:rsid w:val="00541560"/>
    <w:rsid w:val="00544976"/>
    <w:rsid w:val="00544F23"/>
    <w:rsid w:val="00546004"/>
    <w:rsid w:val="00550503"/>
    <w:rsid w:val="00553B63"/>
    <w:rsid w:val="0055448C"/>
    <w:rsid w:val="00554E94"/>
    <w:rsid w:val="00555664"/>
    <w:rsid w:val="005565B0"/>
    <w:rsid w:val="00566076"/>
    <w:rsid w:val="0056717C"/>
    <w:rsid w:val="00567D7A"/>
    <w:rsid w:val="00570C05"/>
    <w:rsid w:val="00576887"/>
    <w:rsid w:val="00576E34"/>
    <w:rsid w:val="005826E7"/>
    <w:rsid w:val="0058277E"/>
    <w:rsid w:val="00583C74"/>
    <w:rsid w:val="00585160"/>
    <w:rsid w:val="0058655D"/>
    <w:rsid w:val="00592AAA"/>
    <w:rsid w:val="00592DB5"/>
    <w:rsid w:val="005956D9"/>
    <w:rsid w:val="00595719"/>
    <w:rsid w:val="0059774B"/>
    <w:rsid w:val="005A01F7"/>
    <w:rsid w:val="005A1EC2"/>
    <w:rsid w:val="005A2AA9"/>
    <w:rsid w:val="005A6ED3"/>
    <w:rsid w:val="005B07B9"/>
    <w:rsid w:val="005B0809"/>
    <w:rsid w:val="005B1767"/>
    <w:rsid w:val="005B350C"/>
    <w:rsid w:val="005B5639"/>
    <w:rsid w:val="005C0949"/>
    <w:rsid w:val="005C1370"/>
    <w:rsid w:val="005C1605"/>
    <w:rsid w:val="005C25DD"/>
    <w:rsid w:val="005C3159"/>
    <w:rsid w:val="005C40C6"/>
    <w:rsid w:val="005C4AF8"/>
    <w:rsid w:val="005C52B7"/>
    <w:rsid w:val="005D1E18"/>
    <w:rsid w:val="005D500F"/>
    <w:rsid w:val="005D7958"/>
    <w:rsid w:val="005D7CE9"/>
    <w:rsid w:val="005D7E64"/>
    <w:rsid w:val="005E0F49"/>
    <w:rsid w:val="005E445F"/>
    <w:rsid w:val="005F080C"/>
    <w:rsid w:val="005F1CBE"/>
    <w:rsid w:val="005F298E"/>
    <w:rsid w:val="005F2D6E"/>
    <w:rsid w:val="005F510F"/>
    <w:rsid w:val="005F6085"/>
    <w:rsid w:val="005F66D6"/>
    <w:rsid w:val="00601433"/>
    <w:rsid w:val="006032D1"/>
    <w:rsid w:val="006113AB"/>
    <w:rsid w:val="0061293F"/>
    <w:rsid w:val="006135EA"/>
    <w:rsid w:val="006159B0"/>
    <w:rsid w:val="00617F8A"/>
    <w:rsid w:val="006201C9"/>
    <w:rsid w:val="00621F7E"/>
    <w:rsid w:val="00622609"/>
    <w:rsid w:val="006259BB"/>
    <w:rsid w:val="00626225"/>
    <w:rsid w:val="006262E0"/>
    <w:rsid w:val="00626750"/>
    <w:rsid w:val="00631F78"/>
    <w:rsid w:val="0063468B"/>
    <w:rsid w:val="00637620"/>
    <w:rsid w:val="00641FB0"/>
    <w:rsid w:val="006437F0"/>
    <w:rsid w:val="00643E9A"/>
    <w:rsid w:val="00645C64"/>
    <w:rsid w:val="00646A69"/>
    <w:rsid w:val="00646F88"/>
    <w:rsid w:val="006471AF"/>
    <w:rsid w:val="00647BB4"/>
    <w:rsid w:val="0065368A"/>
    <w:rsid w:val="00661853"/>
    <w:rsid w:val="00661D1D"/>
    <w:rsid w:val="00662C80"/>
    <w:rsid w:val="00664CA7"/>
    <w:rsid w:val="0066603C"/>
    <w:rsid w:val="00672609"/>
    <w:rsid w:val="00672A23"/>
    <w:rsid w:val="00672C2F"/>
    <w:rsid w:val="00673A3B"/>
    <w:rsid w:val="00674A54"/>
    <w:rsid w:val="00674AD8"/>
    <w:rsid w:val="00675BA8"/>
    <w:rsid w:val="006760E8"/>
    <w:rsid w:val="00682517"/>
    <w:rsid w:val="00683027"/>
    <w:rsid w:val="006846D5"/>
    <w:rsid w:val="00687FDA"/>
    <w:rsid w:val="00693A9F"/>
    <w:rsid w:val="00694AC8"/>
    <w:rsid w:val="00697059"/>
    <w:rsid w:val="006A030F"/>
    <w:rsid w:val="006A26A0"/>
    <w:rsid w:val="006A7FDE"/>
    <w:rsid w:val="006B4E5A"/>
    <w:rsid w:val="006B5A4C"/>
    <w:rsid w:val="006C2FCA"/>
    <w:rsid w:val="006C357E"/>
    <w:rsid w:val="006C5462"/>
    <w:rsid w:val="006C5869"/>
    <w:rsid w:val="006D00A2"/>
    <w:rsid w:val="006D201B"/>
    <w:rsid w:val="006D7BE0"/>
    <w:rsid w:val="006E55A1"/>
    <w:rsid w:val="006E6C54"/>
    <w:rsid w:val="006F3896"/>
    <w:rsid w:val="006F5997"/>
    <w:rsid w:val="006F7252"/>
    <w:rsid w:val="007002D2"/>
    <w:rsid w:val="0070246B"/>
    <w:rsid w:val="00703599"/>
    <w:rsid w:val="00704415"/>
    <w:rsid w:val="0070743E"/>
    <w:rsid w:val="00710A86"/>
    <w:rsid w:val="00711D03"/>
    <w:rsid w:val="0072059E"/>
    <w:rsid w:val="00720A14"/>
    <w:rsid w:val="00720C06"/>
    <w:rsid w:val="0072252D"/>
    <w:rsid w:val="00724301"/>
    <w:rsid w:val="00724686"/>
    <w:rsid w:val="00731C2B"/>
    <w:rsid w:val="00734A5D"/>
    <w:rsid w:val="00735EA2"/>
    <w:rsid w:val="007362BC"/>
    <w:rsid w:val="00736472"/>
    <w:rsid w:val="00737CF2"/>
    <w:rsid w:val="00740095"/>
    <w:rsid w:val="00741652"/>
    <w:rsid w:val="007523A0"/>
    <w:rsid w:val="00753872"/>
    <w:rsid w:val="00760BF3"/>
    <w:rsid w:val="007610E2"/>
    <w:rsid w:val="0076121A"/>
    <w:rsid w:val="007612A7"/>
    <w:rsid w:val="00761B2B"/>
    <w:rsid w:val="00761DE0"/>
    <w:rsid w:val="007656BB"/>
    <w:rsid w:val="0077039E"/>
    <w:rsid w:val="00774C58"/>
    <w:rsid w:val="0078478A"/>
    <w:rsid w:val="00785341"/>
    <w:rsid w:val="00786896"/>
    <w:rsid w:val="0079271E"/>
    <w:rsid w:val="007943D5"/>
    <w:rsid w:val="007956A8"/>
    <w:rsid w:val="00796BEE"/>
    <w:rsid w:val="00797A76"/>
    <w:rsid w:val="007A1E38"/>
    <w:rsid w:val="007A4E37"/>
    <w:rsid w:val="007A6AFA"/>
    <w:rsid w:val="007B29D1"/>
    <w:rsid w:val="007B2DB1"/>
    <w:rsid w:val="007B2F54"/>
    <w:rsid w:val="007B5A87"/>
    <w:rsid w:val="007C0373"/>
    <w:rsid w:val="007C3336"/>
    <w:rsid w:val="007D0012"/>
    <w:rsid w:val="007D1605"/>
    <w:rsid w:val="007D2C47"/>
    <w:rsid w:val="007D6D3F"/>
    <w:rsid w:val="007E0F07"/>
    <w:rsid w:val="007E0F6F"/>
    <w:rsid w:val="007E1035"/>
    <w:rsid w:val="007E1234"/>
    <w:rsid w:val="007E15E2"/>
    <w:rsid w:val="007E1AFC"/>
    <w:rsid w:val="007E2915"/>
    <w:rsid w:val="007E33DD"/>
    <w:rsid w:val="007E3910"/>
    <w:rsid w:val="007E3B7F"/>
    <w:rsid w:val="007E50FB"/>
    <w:rsid w:val="007F07AC"/>
    <w:rsid w:val="007F1F58"/>
    <w:rsid w:val="007F2904"/>
    <w:rsid w:val="007F463C"/>
    <w:rsid w:val="007F49E7"/>
    <w:rsid w:val="007F58E3"/>
    <w:rsid w:val="007F5959"/>
    <w:rsid w:val="007F6C96"/>
    <w:rsid w:val="0080545C"/>
    <w:rsid w:val="0080545D"/>
    <w:rsid w:val="00805DD2"/>
    <w:rsid w:val="008102DB"/>
    <w:rsid w:val="00811463"/>
    <w:rsid w:val="008129BB"/>
    <w:rsid w:val="00813C3B"/>
    <w:rsid w:val="0081749F"/>
    <w:rsid w:val="00817ABF"/>
    <w:rsid w:val="00822FFF"/>
    <w:rsid w:val="008241A0"/>
    <w:rsid w:val="00824DA4"/>
    <w:rsid w:val="00825006"/>
    <w:rsid w:val="0082556D"/>
    <w:rsid w:val="00827AB5"/>
    <w:rsid w:val="00832821"/>
    <w:rsid w:val="008329A5"/>
    <w:rsid w:val="0084040E"/>
    <w:rsid w:val="008424B1"/>
    <w:rsid w:val="00843BD6"/>
    <w:rsid w:val="00847225"/>
    <w:rsid w:val="008512C6"/>
    <w:rsid w:val="008519F2"/>
    <w:rsid w:val="00854B6E"/>
    <w:rsid w:val="00855708"/>
    <w:rsid w:val="00857166"/>
    <w:rsid w:val="008655B6"/>
    <w:rsid w:val="00867D4A"/>
    <w:rsid w:val="00873411"/>
    <w:rsid w:val="0087468F"/>
    <w:rsid w:val="0088167E"/>
    <w:rsid w:val="00882499"/>
    <w:rsid w:val="008858F0"/>
    <w:rsid w:val="0088743A"/>
    <w:rsid w:val="008877F4"/>
    <w:rsid w:val="00893B05"/>
    <w:rsid w:val="00893C41"/>
    <w:rsid w:val="00894030"/>
    <w:rsid w:val="00894913"/>
    <w:rsid w:val="00897502"/>
    <w:rsid w:val="008A1DEA"/>
    <w:rsid w:val="008A3465"/>
    <w:rsid w:val="008A673D"/>
    <w:rsid w:val="008B29D0"/>
    <w:rsid w:val="008C3384"/>
    <w:rsid w:val="008C5983"/>
    <w:rsid w:val="008C70E7"/>
    <w:rsid w:val="008D43C1"/>
    <w:rsid w:val="008D4454"/>
    <w:rsid w:val="008D4ED1"/>
    <w:rsid w:val="008D5201"/>
    <w:rsid w:val="008E05D0"/>
    <w:rsid w:val="008E11C2"/>
    <w:rsid w:val="008E1903"/>
    <w:rsid w:val="008E2AD3"/>
    <w:rsid w:val="008E59A8"/>
    <w:rsid w:val="0090174C"/>
    <w:rsid w:val="009067E2"/>
    <w:rsid w:val="00906F6A"/>
    <w:rsid w:val="00907424"/>
    <w:rsid w:val="00907BF4"/>
    <w:rsid w:val="009102A8"/>
    <w:rsid w:val="009107F0"/>
    <w:rsid w:val="00913193"/>
    <w:rsid w:val="009162F9"/>
    <w:rsid w:val="0091784F"/>
    <w:rsid w:val="0092105F"/>
    <w:rsid w:val="00921EC7"/>
    <w:rsid w:val="009220CA"/>
    <w:rsid w:val="009223DF"/>
    <w:rsid w:val="009232CB"/>
    <w:rsid w:val="00925705"/>
    <w:rsid w:val="00926F75"/>
    <w:rsid w:val="009272B8"/>
    <w:rsid w:val="00932874"/>
    <w:rsid w:val="009371D1"/>
    <w:rsid w:val="00937974"/>
    <w:rsid w:val="00937FD9"/>
    <w:rsid w:val="009464DE"/>
    <w:rsid w:val="00951B7E"/>
    <w:rsid w:val="009565F7"/>
    <w:rsid w:val="00957BA7"/>
    <w:rsid w:val="009609B7"/>
    <w:rsid w:val="0096175A"/>
    <w:rsid w:val="0096209E"/>
    <w:rsid w:val="00962F2A"/>
    <w:rsid w:val="009665BC"/>
    <w:rsid w:val="00966C69"/>
    <w:rsid w:val="00967583"/>
    <w:rsid w:val="009772B3"/>
    <w:rsid w:val="009808AC"/>
    <w:rsid w:val="009819A6"/>
    <w:rsid w:val="00981B76"/>
    <w:rsid w:val="009820A2"/>
    <w:rsid w:val="00983F0E"/>
    <w:rsid w:val="00984490"/>
    <w:rsid w:val="009846B9"/>
    <w:rsid w:val="00986396"/>
    <w:rsid w:val="00990000"/>
    <w:rsid w:val="009904B8"/>
    <w:rsid w:val="009A1B51"/>
    <w:rsid w:val="009A2EA2"/>
    <w:rsid w:val="009A6275"/>
    <w:rsid w:val="009A6C34"/>
    <w:rsid w:val="009B4801"/>
    <w:rsid w:val="009D2506"/>
    <w:rsid w:val="009D311E"/>
    <w:rsid w:val="009E1187"/>
    <w:rsid w:val="009E1D4A"/>
    <w:rsid w:val="009E29D0"/>
    <w:rsid w:val="009E2AB0"/>
    <w:rsid w:val="009E64E9"/>
    <w:rsid w:val="009E7F3B"/>
    <w:rsid w:val="009F5262"/>
    <w:rsid w:val="009F5282"/>
    <w:rsid w:val="009F53A5"/>
    <w:rsid w:val="00A00F2B"/>
    <w:rsid w:val="00A01ED2"/>
    <w:rsid w:val="00A04342"/>
    <w:rsid w:val="00A04E68"/>
    <w:rsid w:val="00A0592A"/>
    <w:rsid w:val="00A103D4"/>
    <w:rsid w:val="00A108A1"/>
    <w:rsid w:val="00A13852"/>
    <w:rsid w:val="00A148B6"/>
    <w:rsid w:val="00A14A0D"/>
    <w:rsid w:val="00A1602B"/>
    <w:rsid w:val="00A16301"/>
    <w:rsid w:val="00A204E9"/>
    <w:rsid w:val="00A30EDA"/>
    <w:rsid w:val="00A30FB5"/>
    <w:rsid w:val="00A32B39"/>
    <w:rsid w:val="00A35EC2"/>
    <w:rsid w:val="00A417BE"/>
    <w:rsid w:val="00A433D3"/>
    <w:rsid w:val="00A43E61"/>
    <w:rsid w:val="00A4508A"/>
    <w:rsid w:val="00A5148F"/>
    <w:rsid w:val="00A53EF5"/>
    <w:rsid w:val="00A54D71"/>
    <w:rsid w:val="00A56681"/>
    <w:rsid w:val="00A56DEA"/>
    <w:rsid w:val="00A57E5D"/>
    <w:rsid w:val="00A647B0"/>
    <w:rsid w:val="00A659BB"/>
    <w:rsid w:val="00A66899"/>
    <w:rsid w:val="00A70ADE"/>
    <w:rsid w:val="00A73AC3"/>
    <w:rsid w:val="00A749B7"/>
    <w:rsid w:val="00A75CC5"/>
    <w:rsid w:val="00A75E8C"/>
    <w:rsid w:val="00A76254"/>
    <w:rsid w:val="00A7644F"/>
    <w:rsid w:val="00A77B9D"/>
    <w:rsid w:val="00A84AC3"/>
    <w:rsid w:val="00A85FF1"/>
    <w:rsid w:val="00A879C4"/>
    <w:rsid w:val="00A914BF"/>
    <w:rsid w:val="00A9290E"/>
    <w:rsid w:val="00A95B0F"/>
    <w:rsid w:val="00AA0314"/>
    <w:rsid w:val="00AA1589"/>
    <w:rsid w:val="00AA337E"/>
    <w:rsid w:val="00AA4A39"/>
    <w:rsid w:val="00AA66C8"/>
    <w:rsid w:val="00AA68BD"/>
    <w:rsid w:val="00AA73D2"/>
    <w:rsid w:val="00AB2E51"/>
    <w:rsid w:val="00AB44D2"/>
    <w:rsid w:val="00AB7B71"/>
    <w:rsid w:val="00AC0D28"/>
    <w:rsid w:val="00AC0D9E"/>
    <w:rsid w:val="00AC4E0F"/>
    <w:rsid w:val="00AC5C5F"/>
    <w:rsid w:val="00AC6122"/>
    <w:rsid w:val="00AD0F4B"/>
    <w:rsid w:val="00AD1060"/>
    <w:rsid w:val="00AD2242"/>
    <w:rsid w:val="00AD6ACA"/>
    <w:rsid w:val="00AE0DD6"/>
    <w:rsid w:val="00AE149F"/>
    <w:rsid w:val="00AE4813"/>
    <w:rsid w:val="00AF1813"/>
    <w:rsid w:val="00AF3424"/>
    <w:rsid w:val="00AF3858"/>
    <w:rsid w:val="00AF3A08"/>
    <w:rsid w:val="00AF5771"/>
    <w:rsid w:val="00AF6C07"/>
    <w:rsid w:val="00B03119"/>
    <w:rsid w:val="00B05790"/>
    <w:rsid w:val="00B064AE"/>
    <w:rsid w:val="00B07251"/>
    <w:rsid w:val="00B07626"/>
    <w:rsid w:val="00B10D7A"/>
    <w:rsid w:val="00B14D29"/>
    <w:rsid w:val="00B15444"/>
    <w:rsid w:val="00B15456"/>
    <w:rsid w:val="00B212F3"/>
    <w:rsid w:val="00B22673"/>
    <w:rsid w:val="00B24E98"/>
    <w:rsid w:val="00B254F5"/>
    <w:rsid w:val="00B263A7"/>
    <w:rsid w:val="00B266A2"/>
    <w:rsid w:val="00B2690A"/>
    <w:rsid w:val="00B303D3"/>
    <w:rsid w:val="00B324D0"/>
    <w:rsid w:val="00B34225"/>
    <w:rsid w:val="00B34D2F"/>
    <w:rsid w:val="00B34ECD"/>
    <w:rsid w:val="00B34FEA"/>
    <w:rsid w:val="00B35278"/>
    <w:rsid w:val="00B367BF"/>
    <w:rsid w:val="00B418E5"/>
    <w:rsid w:val="00B453B4"/>
    <w:rsid w:val="00B464D9"/>
    <w:rsid w:val="00B46767"/>
    <w:rsid w:val="00B50A0D"/>
    <w:rsid w:val="00B55BC9"/>
    <w:rsid w:val="00B5731F"/>
    <w:rsid w:val="00B57816"/>
    <w:rsid w:val="00B57F58"/>
    <w:rsid w:val="00B610C3"/>
    <w:rsid w:val="00B62A3E"/>
    <w:rsid w:val="00B66E22"/>
    <w:rsid w:val="00B722AB"/>
    <w:rsid w:val="00B765AF"/>
    <w:rsid w:val="00B77461"/>
    <w:rsid w:val="00B81897"/>
    <w:rsid w:val="00B8295B"/>
    <w:rsid w:val="00B862FC"/>
    <w:rsid w:val="00B86CB3"/>
    <w:rsid w:val="00B90F38"/>
    <w:rsid w:val="00B91625"/>
    <w:rsid w:val="00B91B2C"/>
    <w:rsid w:val="00B92A2C"/>
    <w:rsid w:val="00B937C0"/>
    <w:rsid w:val="00B93D31"/>
    <w:rsid w:val="00B96C03"/>
    <w:rsid w:val="00BA1517"/>
    <w:rsid w:val="00BA3812"/>
    <w:rsid w:val="00BA3838"/>
    <w:rsid w:val="00BA4EA8"/>
    <w:rsid w:val="00BA5993"/>
    <w:rsid w:val="00BA5A2B"/>
    <w:rsid w:val="00BB2E9A"/>
    <w:rsid w:val="00BB7B0D"/>
    <w:rsid w:val="00BC209A"/>
    <w:rsid w:val="00BC2CE2"/>
    <w:rsid w:val="00BC471E"/>
    <w:rsid w:val="00BC5C4D"/>
    <w:rsid w:val="00BC6398"/>
    <w:rsid w:val="00BD4664"/>
    <w:rsid w:val="00BD5E3F"/>
    <w:rsid w:val="00BE06C9"/>
    <w:rsid w:val="00BE1476"/>
    <w:rsid w:val="00BE1793"/>
    <w:rsid w:val="00BE194F"/>
    <w:rsid w:val="00BE1C8E"/>
    <w:rsid w:val="00BE241B"/>
    <w:rsid w:val="00BE30D8"/>
    <w:rsid w:val="00BE32B3"/>
    <w:rsid w:val="00BE3A0B"/>
    <w:rsid w:val="00BE5ACE"/>
    <w:rsid w:val="00BE60A5"/>
    <w:rsid w:val="00BF113F"/>
    <w:rsid w:val="00BF2288"/>
    <w:rsid w:val="00BF5538"/>
    <w:rsid w:val="00BF59AF"/>
    <w:rsid w:val="00BF6901"/>
    <w:rsid w:val="00BF7F63"/>
    <w:rsid w:val="00C00743"/>
    <w:rsid w:val="00C00B27"/>
    <w:rsid w:val="00C034C2"/>
    <w:rsid w:val="00C1072E"/>
    <w:rsid w:val="00C12759"/>
    <w:rsid w:val="00C12B6C"/>
    <w:rsid w:val="00C13A63"/>
    <w:rsid w:val="00C13DC7"/>
    <w:rsid w:val="00C13E64"/>
    <w:rsid w:val="00C2073F"/>
    <w:rsid w:val="00C2214D"/>
    <w:rsid w:val="00C24847"/>
    <w:rsid w:val="00C24AE2"/>
    <w:rsid w:val="00C26FAE"/>
    <w:rsid w:val="00C402F8"/>
    <w:rsid w:val="00C40438"/>
    <w:rsid w:val="00C4064F"/>
    <w:rsid w:val="00C41F8F"/>
    <w:rsid w:val="00C434C3"/>
    <w:rsid w:val="00C436C1"/>
    <w:rsid w:val="00C44B62"/>
    <w:rsid w:val="00C45CEA"/>
    <w:rsid w:val="00C46553"/>
    <w:rsid w:val="00C47A88"/>
    <w:rsid w:val="00C51676"/>
    <w:rsid w:val="00C51EC1"/>
    <w:rsid w:val="00C52C09"/>
    <w:rsid w:val="00C56267"/>
    <w:rsid w:val="00C56B2C"/>
    <w:rsid w:val="00C56EE3"/>
    <w:rsid w:val="00C62917"/>
    <w:rsid w:val="00C6505B"/>
    <w:rsid w:val="00C65DB2"/>
    <w:rsid w:val="00C66E2E"/>
    <w:rsid w:val="00C67C83"/>
    <w:rsid w:val="00C72123"/>
    <w:rsid w:val="00C73235"/>
    <w:rsid w:val="00C80955"/>
    <w:rsid w:val="00C814A5"/>
    <w:rsid w:val="00C82DF0"/>
    <w:rsid w:val="00C854FA"/>
    <w:rsid w:val="00C900E4"/>
    <w:rsid w:val="00C90B3C"/>
    <w:rsid w:val="00C90CAF"/>
    <w:rsid w:val="00C9188A"/>
    <w:rsid w:val="00C93A68"/>
    <w:rsid w:val="00C95BAF"/>
    <w:rsid w:val="00C97673"/>
    <w:rsid w:val="00C97722"/>
    <w:rsid w:val="00C97C3A"/>
    <w:rsid w:val="00C97E6B"/>
    <w:rsid w:val="00CA30BF"/>
    <w:rsid w:val="00CA59D6"/>
    <w:rsid w:val="00CA76F9"/>
    <w:rsid w:val="00CB0120"/>
    <w:rsid w:val="00CB01C3"/>
    <w:rsid w:val="00CB2737"/>
    <w:rsid w:val="00CB3604"/>
    <w:rsid w:val="00CB4893"/>
    <w:rsid w:val="00CB62FD"/>
    <w:rsid w:val="00CB7E2F"/>
    <w:rsid w:val="00CC53C7"/>
    <w:rsid w:val="00CC72F7"/>
    <w:rsid w:val="00CD0E43"/>
    <w:rsid w:val="00CD0EAA"/>
    <w:rsid w:val="00CD25BF"/>
    <w:rsid w:val="00CD58FA"/>
    <w:rsid w:val="00CD7BF2"/>
    <w:rsid w:val="00CE2249"/>
    <w:rsid w:val="00CE470E"/>
    <w:rsid w:val="00CE68A7"/>
    <w:rsid w:val="00CF11A6"/>
    <w:rsid w:val="00CF11B4"/>
    <w:rsid w:val="00CF4F5C"/>
    <w:rsid w:val="00CF6196"/>
    <w:rsid w:val="00CF7120"/>
    <w:rsid w:val="00D01C29"/>
    <w:rsid w:val="00D05DE9"/>
    <w:rsid w:val="00D0697C"/>
    <w:rsid w:val="00D07445"/>
    <w:rsid w:val="00D07DA7"/>
    <w:rsid w:val="00D100FD"/>
    <w:rsid w:val="00D12325"/>
    <w:rsid w:val="00D12B60"/>
    <w:rsid w:val="00D13137"/>
    <w:rsid w:val="00D132F7"/>
    <w:rsid w:val="00D20192"/>
    <w:rsid w:val="00D2064A"/>
    <w:rsid w:val="00D20FE7"/>
    <w:rsid w:val="00D2503E"/>
    <w:rsid w:val="00D2600B"/>
    <w:rsid w:val="00D3001F"/>
    <w:rsid w:val="00D32315"/>
    <w:rsid w:val="00D35661"/>
    <w:rsid w:val="00D360F5"/>
    <w:rsid w:val="00D4009C"/>
    <w:rsid w:val="00D47485"/>
    <w:rsid w:val="00D5073F"/>
    <w:rsid w:val="00D53F77"/>
    <w:rsid w:val="00D568B4"/>
    <w:rsid w:val="00D656AE"/>
    <w:rsid w:val="00D662BE"/>
    <w:rsid w:val="00D66A5B"/>
    <w:rsid w:val="00D66BE5"/>
    <w:rsid w:val="00D711EC"/>
    <w:rsid w:val="00D7122E"/>
    <w:rsid w:val="00D717EF"/>
    <w:rsid w:val="00D71C27"/>
    <w:rsid w:val="00D734CD"/>
    <w:rsid w:val="00D75375"/>
    <w:rsid w:val="00D77D64"/>
    <w:rsid w:val="00D82666"/>
    <w:rsid w:val="00D82F16"/>
    <w:rsid w:val="00D83A69"/>
    <w:rsid w:val="00D86394"/>
    <w:rsid w:val="00D921DC"/>
    <w:rsid w:val="00D96C05"/>
    <w:rsid w:val="00DA332C"/>
    <w:rsid w:val="00DA5466"/>
    <w:rsid w:val="00DA7263"/>
    <w:rsid w:val="00DA76E9"/>
    <w:rsid w:val="00DB05B0"/>
    <w:rsid w:val="00DB42BA"/>
    <w:rsid w:val="00DB5297"/>
    <w:rsid w:val="00DB5FF8"/>
    <w:rsid w:val="00DC030A"/>
    <w:rsid w:val="00DC18B4"/>
    <w:rsid w:val="00DC3414"/>
    <w:rsid w:val="00DD3D42"/>
    <w:rsid w:val="00DD4A8F"/>
    <w:rsid w:val="00DD4E05"/>
    <w:rsid w:val="00DD50DB"/>
    <w:rsid w:val="00DD53E3"/>
    <w:rsid w:val="00DD5E3D"/>
    <w:rsid w:val="00DD790D"/>
    <w:rsid w:val="00DE1255"/>
    <w:rsid w:val="00DE14E8"/>
    <w:rsid w:val="00DE21D3"/>
    <w:rsid w:val="00DE277A"/>
    <w:rsid w:val="00DE54E1"/>
    <w:rsid w:val="00DE6155"/>
    <w:rsid w:val="00DF1E8F"/>
    <w:rsid w:val="00DF21FC"/>
    <w:rsid w:val="00DF2B72"/>
    <w:rsid w:val="00DF3F7A"/>
    <w:rsid w:val="00DF724C"/>
    <w:rsid w:val="00E022A0"/>
    <w:rsid w:val="00E06218"/>
    <w:rsid w:val="00E06726"/>
    <w:rsid w:val="00E0793C"/>
    <w:rsid w:val="00E121BC"/>
    <w:rsid w:val="00E12434"/>
    <w:rsid w:val="00E14C0C"/>
    <w:rsid w:val="00E158AC"/>
    <w:rsid w:val="00E159DE"/>
    <w:rsid w:val="00E160D2"/>
    <w:rsid w:val="00E17BD1"/>
    <w:rsid w:val="00E20658"/>
    <w:rsid w:val="00E23BFE"/>
    <w:rsid w:val="00E26B02"/>
    <w:rsid w:val="00E276E3"/>
    <w:rsid w:val="00E361BC"/>
    <w:rsid w:val="00E3670F"/>
    <w:rsid w:val="00E401C0"/>
    <w:rsid w:val="00E411B9"/>
    <w:rsid w:val="00E41D4D"/>
    <w:rsid w:val="00E4214D"/>
    <w:rsid w:val="00E42B29"/>
    <w:rsid w:val="00E44113"/>
    <w:rsid w:val="00E44A2F"/>
    <w:rsid w:val="00E44D0B"/>
    <w:rsid w:val="00E46056"/>
    <w:rsid w:val="00E465E5"/>
    <w:rsid w:val="00E51340"/>
    <w:rsid w:val="00E536D0"/>
    <w:rsid w:val="00E554E1"/>
    <w:rsid w:val="00E556A7"/>
    <w:rsid w:val="00E57D25"/>
    <w:rsid w:val="00E60331"/>
    <w:rsid w:val="00E61E6E"/>
    <w:rsid w:val="00E620D3"/>
    <w:rsid w:val="00E6525C"/>
    <w:rsid w:val="00E67B9B"/>
    <w:rsid w:val="00E71A21"/>
    <w:rsid w:val="00E72C97"/>
    <w:rsid w:val="00E75DDB"/>
    <w:rsid w:val="00E768B8"/>
    <w:rsid w:val="00E77FFE"/>
    <w:rsid w:val="00E830B1"/>
    <w:rsid w:val="00E834E5"/>
    <w:rsid w:val="00E87194"/>
    <w:rsid w:val="00E91D32"/>
    <w:rsid w:val="00E91EAF"/>
    <w:rsid w:val="00E94E6B"/>
    <w:rsid w:val="00E952E1"/>
    <w:rsid w:val="00EA1C03"/>
    <w:rsid w:val="00EA6627"/>
    <w:rsid w:val="00EB000A"/>
    <w:rsid w:val="00EB4DBD"/>
    <w:rsid w:val="00EB668D"/>
    <w:rsid w:val="00EC0822"/>
    <w:rsid w:val="00EC0E49"/>
    <w:rsid w:val="00EC2C1E"/>
    <w:rsid w:val="00EC2CD1"/>
    <w:rsid w:val="00EC2F8F"/>
    <w:rsid w:val="00EC4864"/>
    <w:rsid w:val="00ED006E"/>
    <w:rsid w:val="00ED0B12"/>
    <w:rsid w:val="00ED35DE"/>
    <w:rsid w:val="00ED4166"/>
    <w:rsid w:val="00ED4F88"/>
    <w:rsid w:val="00ED615B"/>
    <w:rsid w:val="00ED734C"/>
    <w:rsid w:val="00ED7D88"/>
    <w:rsid w:val="00EE05DC"/>
    <w:rsid w:val="00EE1BC8"/>
    <w:rsid w:val="00EE2021"/>
    <w:rsid w:val="00EE214E"/>
    <w:rsid w:val="00EE4B41"/>
    <w:rsid w:val="00EE7DFB"/>
    <w:rsid w:val="00EF0770"/>
    <w:rsid w:val="00EF6490"/>
    <w:rsid w:val="00EF6630"/>
    <w:rsid w:val="00F0128D"/>
    <w:rsid w:val="00F016D7"/>
    <w:rsid w:val="00F017D9"/>
    <w:rsid w:val="00F018F1"/>
    <w:rsid w:val="00F03C80"/>
    <w:rsid w:val="00F03DAF"/>
    <w:rsid w:val="00F04F31"/>
    <w:rsid w:val="00F0501D"/>
    <w:rsid w:val="00F11481"/>
    <w:rsid w:val="00F1548D"/>
    <w:rsid w:val="00F154BC"/>
    <w:rsid w:val="00F166D5"/>
    <w:rsid w:val="00F214EC"/>
    <w:rsid w:val="00F21CFF"/>
    <w:rsid w:val="00F244DF"/>
    <w:rsid w:val="00F31E88"/>
    <w:rsid w:val="00F3391D"/>
    <w:rsid w:val="00F351A2"/>
    <w:rsid w:val="00F367D5"/>
    <w:rsid w:val="00F4691F"/>
    <w:rsid w:val="00F5032F"/>
    <w:rsid w:val="00F50C5E"/>
    <w:rsid w:val="00F53E3D"/>
    <w:rsid w:val="00F541AF"/>
    <w:rsid w:val="00F5616B"/>
    <w:rsid w:val="00F6264B"/>
    <w:rsid w:val="00F6377C"/>
    <w:rsid w:val="00F65871"/>
    <w:rsid w:val="00F6770B"/>
    <w:rsid w:val="00F725E0"/>
    <w:rsid w:val="00F7316E"/>
    <w:rsid w:val="00F749BA"/>
    <w:rsid w:val="00F75598"/>
    <w:rsid w:val="00F75C8D"/>
    <w:rsid w:val="00F75DDB"/>
    <w:rsid w:val="00F76CF5"/>
    <w:rsid w:val="00F771C9"/>
    <w:rsid w:val="00F77DC2"/>
    <w:rsid w:val="00F801CD"/>
    <w:rsid w:val="00F80779"/>
    <w:rsid w:val="00F827F4"/>
    <w:rsid w:val="00F8592C"/>
    <w:rsid w:val="00F85AF3"/>
    <w:rsid w:val="00F87DA8"/>
    <w:rsid w:val="00F87E5A"/>
    <w:rsid w:val="00F9208B"/>
    <w:rsid w:val="00F92A2A"/>
    <w:rsid w:val="00F93D1F"/>
    <w:rsid w:val="00FA0BC4"/>
    <w:rsid w:val="00FA1B8B"/>
    <w:rsid w:val="00FA2940"/>
    <w:rsid w:val="00FA29CC"/>
    <w:rsid w:val="00FA2D63"/>
    <w:rsid w:val="00FA3C22"/>
    <w:rsid w:val="00FA59D8"/>
    <w:rsid w:val="00FA657B"/>
    <w:rsid w:val="00FA6864"/>
    <w:rsid w:val="00FA6D95"/>
    <w:rsid w:val="00FA7B88"/>
    <w:rsid w:val="00FB0CBD"/>
    <w:rsid w:val="00FB1191"/>
    <w:rsid w:val="00FB13BB"/>
    <w:rsid w:val="00FB2462"/>
    <w:rsid w:val="00FB26FC"/>
    <w:rsid w:val="00FB336F"/>
    <w:rsid w:val="00FB50CE"/>
    <w:rsid w:val="00FB5A37"/>
    <w:rsid w:val="00FB6CDC"/>
    <w:rsid w:val="00FB741F"/>
    <w:rsid w:val="00FC138C"/>
    <w:rsid w:val="00FC361E"/>
    <w:rsid w:val="00FC3B4D"/>
    <w:rsid w:val="00FC3E4E"/>
    <w:rsid w:val="00FC47A4"/>
    <w:rsid w:val="00FC561B"/>
    <w:rsid w:val="00FC6B4F"/>
    <w:rsid w:val="00FD221E"/>
    <w:rsid w:val="00FD2A21"/>
    <w:rsid w:val="00FE052C"/>
    <w:rsid w:val="00FE2BDA"/>
    <w:rsid w:val="00FE78F2"/>
    <w:rsid w:val="00FF068C"/>
    <w:rsid w:val="00FF0963"/>
    <w:rsid w:val="00FF445E"/>
    <w:rsid w:val="00FF4EA7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1370"/>
  <w15:chartTrackingRefBased/>
  <w15:docId w15:val="{AEB2165F-E70B-443F-8D7B-6DA73C22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4E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1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1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1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3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08E"/>
  </w:style>
  <w:style w:type="paragraph" w:styleId="Stopka">
    <w:name w:val="footer"/>
    <w:basedOn w:val="Normalny"/>
    <w:link w:val="StopkaZnak"/>
    <w:uiPriority w:val="99"/>
    <w:unhideWhenUsed/>
    <w:rsid w:val="0047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0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1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1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1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D4E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67B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7B6AB-C1E1-488C-90E2-828824E0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7</Pages>
  <Words>1929</Words>
  <Characters>11578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20</cp:revision>
  <cp:lastPrinted>2022-07-28T23:49:00Z</cp:lastPrinted>
  <dcterms:created xsi:type="dcterms:W3CDTF">2023-02-11T15:20:00Z</dcterms:created>
  <dcterms:modified xsi:type="dcterms:W3CDTF">2023-02-26T16:29:00Z</dcterms:modified>
</cp:coreProperties>
</file>