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74FB" w14:textId="3891FDEF" w:rsidR="00007D68" w:rsidRPr="0055207D" w:rsidRDefault="00007D68" w:rsidP="00007D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207D">
        <w:rPr>
          <w:rFonts w:ascii="Times New Roman" w:hAnsi="Times New Roman" w:cs="Times New Roman"/>
          <w:b/>
          <w:bCs/>
          <w:sz w:val="24"/>
          <w:szCs w:val="24"/>
        </w:rPr>
        <w:t xml:space="preserve">COVID </w:t>
      </w:r>
      <w:proofErr w:type="spellStart"/>
      <w:r w:rsidRPr="0055207D">
        <w:rPr>
          <w:rFonts w:ascii="Times New Roman" w:hAnsi="Times New Roman" w:cs="Times New Roman"/>
          <w:b/>
          <w:bCs/>
          <w:sz w:val="24"/>
          <w:szCs w:val="24"/>
        </w:rPr>
        <w:t>Conspiracy</w:t>
      </w:r>
      <w:proofErr w:type="spellEnd"/>
      <w:r w:rsidRPr="0055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207D">
        <w:rPr>
          <w:rFonts w:ascii="Times New Roman" w:hAnsi="Times New Roman" w:cs="Times New Roman"/>
          <w:b/>
          <w:bCs/>
          <w:sz w:val="24"/>
          <w:szCs w:val="24"/>
        </w:rPr>
        <w:t>Beliefs</w:t>
      </w:r>
      <w:proofErr w:type="spellEnd"/>
      <w:r w:rsidRPr="0055207D">
        <w:rPr>
          <w:rFonts w:ascii="Times New Roman" w:hAnsi="Times New Roman" w:cs="Times New Roman"/>
          <w:b/>
          <w:bCs/>
          <w:sz w:val="24"/>
          <w:szCs w:val="24"/>
        </w:rPr>
        <w:t xml:space="preserve"> (Miller, 2020)</w:t>
      </w:r>
    </w:p>
    <w:p w14:paraId="040F0E73" w14:textId="77777777" w:rsidR="0055207D" w:rsidRPr="0055207D" w:rsidRDefault="0055207D" w:rsidP="005520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podstawie: </w:t>
      </w:r>
      <w:r w:rsidRPr="0055207D">
        <w:rPr>
          <w:rFonts w:ascii="Times New Roman" w:hAnsi="Times New Roman" w:cs="Times New Roman"/>
          <w:sz w:val="24"/>
          <w:szCs w:val="24"/>
        </w:rPr>
        <w:t xml:space="preserve">Miller, J. M. (2020). </w:t>
      </w:r>
      <w:r w:rsidRPr="0055207D">
        <w:rPr>
          <w:rFonts w:ascii="Times New Roman" w:hAnsi="Times New Roman" w:cs="Times New Roman"/>
          <w:sz w:val="24"/>
          <w:szCs w:val="24"/>
          <w:lang w:val="en-GB"/>
        </w:rPr>
        <w:t xml:space="preserve">Do COVID-19 Conspiracy Theory Beliefs Form a Monological Belief System? </w:t>
      </w:r>
      <w:r w:rsidRPr="0055207D">
        <w:rPr>
          <w:rFonts w:ascii="Times New Roman" w:hAnsi="Times New Roman" w:cs="Times New Roman"/>
          <w:i/>
          <w:iCs/>
          <w:sz w:val="24"/>
          <w:szCs w:val="24"/>
        </w:rPr>
        <w:t xml:space="preserve">Canadian </w:t>
      </w:r>
      <w:proofErr w:type="spellStart"/>
      <w:r w:rsidRPr="0055207D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55207D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55207D">
        <w:rPr>
          <w:rFonts w:ascii="Times New Roman" w:hAnsi="Times New Roman" w:cs="Times New Roman"/>
          <w:i/>
          <w:iCs/>
          <w:sz w:val="24"/>
          <w:szCs w:val="24"/>
        </w:rPr>
        <w:t>Political</w:t>
      </w:r>
      <w:proofErr w:type="spellEnd"/>
      <w:r w:rsidRPr="0055207D">
        <w:rPr>
          <w:rFonts w:ascii="Times New Roman" w:hAnsi="Times New Roman" w:cs="Times New Roman"/>
          <w:i/>
          <w:iCs/>
          <w:sz w:val="24"/>
          <w:szCs w:val="24"/>
        </w:rPr>
        <w:t xml:space="preserve"> Science</w:t>
      </w:r>
      <w:r w:rsidRPr="0055207D">
        <w:rPr>
          <w:rFonts w:ascii="Times New Roman" w:hAnsi="Times New Roman" w:cs="Times New Roman"/>
          <w:sz w:val="24"/>
          <w:szCs w:val="24"/>
        </w:rPr>
        <w:t xml:space="preserve">, 1–8. </w:t>
      </w:r>
      <w:hyperlink r:id="rId5" w:history="1">
        <w:r w:rsidRPr="0055207D">
          <w:rPr>
            <w:rStyle w:val="Hipercze"/>
            <w:rFonts w:ascii="Times New Roman" w:hAnsi="Times New Roman" w:cs="Times New Roman"/>
            <w:sz w:val="24"/>
            <w:szCs w:val="24"/>
          </w:rPr>
          <w:t>https://doi.org/10.1017/S0008423920000517</w:t>
        </w:r>
      </w:hyperlink>
    </w:p>
    <w:p w14:paraId="2590E55B" w14:textId="74B6803D" w:rsidR="0055207D" w:rsidRPr="0055207D" w:rsidRDefault="0055207D" w:rsidP="0000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Autorzy tłumaczenia: </w:t>
      </w:r>
      <w:r>
        <w:rPr>
          <w:rFonts w:ascii="Times New Roman" w:hAnsi="Times New Roman" w:cs="Times New Roman"/>
          <w:sz w:val="24"/>
          <w:szCs w:val="24"/>
        </w:rPr>
        <w:t>Adrian Wójcik, Aleksandra Cichocka, Michał Główczewski</w:t>
      </w:r>
    </w:p>
    <w:p w14:paraId="7A5A492F" w14:textId="77777777" w:rsidR="0055207D" w:rsidRPr="0055207D" w:rsidRDefault="0055207D" w:rsidP="00007D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AF8B70" w14:textId="23CF6960" w:rsidR="00007D68" w:rsidRPr="00486FE0" w:rsidRDefault="00007D68" w:rsidP="00486FE0">
      <w:pPr>
        <w:rPr>
          <w:rFonts w:ascii="Times New Roman" w:hAnsi="Times New Roman" w:cs="Times New Roman"/>
          <w:sz w:val="24"/>
          <w:szCs w:val="24"/>
        </w:rPr>
      </w:pPr>
      <w:r w:rsidRPr="00007D68">
        <w:rPr>
          <w:rFonts w:ascii="Times New Roman" w:hAnsi="Times New Roman" w:cs="Times New Roman"/>
          <w:sz w:val="24"/>
          <w:szCs w:val="24"/>
        </w:rPr>
        <w:t>Proszę wskazać w jakim stopniu zgadza się Pan/i z poniższymi stwierdzeniami, używając skali od 1 – „zdecydowanie nie zgadzam się” do 5 – „zdecydowanie zgadzam się”.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486FE0" w14:paraId="5C224BD8" w14:textId="77777777" w:rsidTr="00486FE0">
        <w:trPr>
          <w:trHeight w:val="485"/>
        </w:trPr>
        <w:tc>
          <w:tcPr>
            <w:tcW w:w="704" w:type="dxa"/>
          </w:tcPr>
          <w:p w14:paraId="4D8521C0" w14:textId="77777777" w:rsidR="00486FE0" w:rsidRPr="00D07255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179" w:type="dxa"/>
          </w:tcPr>
          <w:p w14:paraId="076CA955" w14:textId="77777777" w:rsidR="00486FE0" w:rsidRPr="00D07255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5">
              <w:rPr>
                <w:rFonts w:ascii="Times New Roman" w:hAnsi="Times New Roman" w:cs="Times New Roman"/>
                <w:sz w:val="24"/>
                <w:szCs w:val="24"/>
              </w:rPr>
              <w:t>Oryginalna wersja</w:t>
            </w:r>
          </w:p>
        </w:tc>
        <w:tc>
          <w:tcPr>
            <w:tcW w:w="4179" w:type="dxa"/>
          </w:tcPr>
          <w:p w14:paraId="6EA8C88A" w14:textId="77777777" w:rsidR="00486FE0" w:rsidRPr="00D07255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255">
              <w:rPr>
                <w:rFonts w:ascii="Times New Roman" w:hAnsi="Times New Roman" w:cs="Times New Roman"/>
                <w:sz w:val="24"/>
                <w:szCs w:val="24"/>
              </w:rPr>
              <w:t>Tłumaczenie i adaptacja</w:t>
            </w:r>
          </w:p>
        </w:tc>
      </w:tr>
      <w:tr w:rsidR="00486FE0" w:rsidRPr="00486FE0" w14:paraId="122FED75" w14:textId="77777777" w:rsidTr="00486FE0">
        <w:trPr>
          <w:trHeight w:val="689"/>
        </w:trPr>
        <w:tc>
          <w:tcPr>
            <w:tcW w:w="704" w:type="dxa"/>
          </w:tcPr>
          <w:p w14:paraId="2AC48519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79" w:type="dxa"/>
          </w:tcPr>
          <w:p w14:paraId="5032CB93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virus is a biological weapon intentionally released by China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47B8A8C8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jest bronią biologiczną uwolnioną celowo przez Chiny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3EA3A1D0" w14:textId="77777777" w:rsidTr="00486FE0">
        <w:trPr>
          <w:trHeight w:val="699"/>
        </w:trPr>
        <w:tc>
          <w:tcPr>
            <w:tcW w:w="704" w:type="dxa"/>
          </w:tcPr>
          <w:p w14:paraId="53B54B17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79" w:type="dxa"/>
          </w:tcPr>
          <w:p w14:paraId="6D0E83ED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virus was accidentally released by China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60E7FB61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został przypadkowo uwolniony przez Chiny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30154884" w14:textId="77777777" w:rsidTr="00486FE0">
        <w:trPr>
          <w:trHeight w:val="709"/>
        </w:trPr>
        <w:tc>
          <w:tcPr>
            <w:tcW w:w="704" w:type="dxa"/>
          </w:tcPr>
          <w:p w14:paraId="26837FC8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79" w:type="dxa"/>
          </w:tcPr>
          <w:p w14:paraId="1DC9DF9E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F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virus was accidentally released by the US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64948092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został przypadkowo uwolniony przez Stany Zjednoczone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075304B3" w14:textId="77777777" w:rsidTr="00486FE0">
        <w:trPr>
          <w:trHeight w:val="975"/>
        </w:trPr>
        <w:tc>
          <w:tcPr>
            <w:tcW w:w="704" w:type="dxa"/>
          </w:tcPr>
          <w:p w14:paraId="3B8BC3E0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79" w:type="dxa"/>
          </w:tcPr>
          <w:p w14:paraId="7BE62CA2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Scientists are exaggerating the seriousness to make President Trump look bad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484B2EE6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Naukowcy celowo przeszacowują zagrożenie </w:t>
            </w: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aby podważyć zaufanie do polskiego rządu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2B98B1DF" w14:textId="77777777" w:rsidTr="00486FE0">
        <w:trPr>
          <w:trHeight w:val="975"/>
        </w:trPr>
        <w:tc>
          <w:tcPr>
            <w:tcW w:w="704" w:type="dxa"/>
          </w:tcPr>
          <w:p w14:paraId="16E80406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79" w:type="dxa"/>
          </w:tcPr>
          <w:p w14:paraId="5DEF081C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media are exaggerating the seriousness to make President Trump look bad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36170146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Media celowo przeszacowują zagrożenie </w:t>
            </w: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koronawirusa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aby podważyć zaufanie do polskiego rządu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778C5238" w14:textId="77777777" w:rsidTr="00486FE0">
        <w:trPr>
          <w:trHeight w:val="1272"/>
        </w:trPr>
        <w:tc>
          <w:tcPr>
            <w:tcW w:w="704" w:type="dxa"/>
          </w:tcPr>
          <w:p w14:paraId="1BEC90E1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79" w:type="dxa"/>
          </w:tcPr>
          <w:p w14:paraId="5D7ECB8C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Democratic governors are hoarding ventilators to make President Trump look bad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6453A275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Opozycyjni burmistrzowie miast sabotują działania przeciw </w:t>
            </w: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koronawirusowi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aby rząd Polski słabo wypadł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091B7613" w14:textId="77777777" w:rsidTr="00486FE0">
        <w:trPr>
          <w:trHeight w:val="1276"/>
        </w:trPr>
        <w:tc>
          <w:tcPr>
            <w:tcW w:w="704" w:type="dxa"/>
          </w:tcPr>
          <w:p w14:paraId="5D3B27E0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4179" w:type="dxa"/>
          </w:tcPr>
          <w:p w14:paraId="4175AE31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Democratic governors are not distributing coronavirus tests to make President Trump look bad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5AA86444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Opozycyjni burmistrzowie miast celowo przeprowadzają za mało testów na </w:t>
            </w: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koronawirusa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 aby osłabić wizerunek rządu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52E174EA" w14:textId="77777777" w:rsidTr="00486FE0">
        <w:trPr>
          <w:trHeight w:val="686"/>
        </w:trPr>
        <w:tc>
          <w:tcPr>
            <w:tcW w:w="704" w:type="dxa"/>
          </w:tcPr>
          <w:p w14:paraId="7D8D638E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79" w:type="dxa"/>
          </w:tcPr>
          <w:p w14:paraId="343148AE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6F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5G technology is causing the coronavirus to spread faster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61BE0C0F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Technologia komórkowa 5G powoduje szybsze rozprzestrzenianie się wirusa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1DB1A145" w14:textId="77777777" w:rsidTr="00486FE0">
        <w:trPr>
          <w:trHeight w:val="412"/>
        </w:trPr>
        <w:tc>
          <w:tcPr>
            <w:tcW w:w="704" w:type="dxa"/>
          </w:tcPr>
          <w:p w14:paraId="2E4F0A34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79" w:type="dxa"/>
          </w:tcPr>
          <w:p w14:paraId="29473486" w14:textId="77777777" w:rsidR="00486FE0" w:rsidRPr="00D07255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72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coronavirus isn’t real.</w:t>
            </w:r>
          </w:p>
        </w:tc>
        <w:tc>
          <w:tcPr>
            <w:tcW w:w="4179" w:type="dxa"/>
          </w:tcPr>
          <w:p w14:paraId="2BB6C508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tak naprawdę nie istnieje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0BB57B0D" w14:textId="77777777" w:rsidTr="00486FE0">
        <w:trPr>
          <w:trHeight w:val="985"/>
        </w:trPr>
        <w:tc>
          <w:tcPr>
            <w:tcW w:w="704" w:type="dxa"/>
          </w:tcPr>
          <w:p w14:paraId="428493FB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79" w:type="dxa"/>
          </w:tcPr>
          <w:p w14:paraId="732DDBB2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Former Microsoft CEO Bill Gates is creating a tracking device to be injected with the coronavirus vaccine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415241DC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Były dyrektor Microsoftu Bill Gates tworzy urządzenia namierzające osoby, które będą szczepione na </w:t>
            </w: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koronawirusa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6FE0" w:rsidRPr="00486FE0" w14:paraId="6FEE2969" w14:textId="77777777" w:rsidTr="00486FE0">
        <w:trPr>
          <w:trHeight w:val="701"/>
        </w:trPr>
        <w:tc>
          <w:tcPr>
            <w:tcW w:w="704" w:type="dxa"/>
          </w:tcPr>
          <w:p w14:paraId="4C3E6B4D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79" w:type="dxa"/>
          </w:tcPr>
          <w:p w14:paraId="11A7510D" w14:textId="77777777" w:rsidR="00486FE0" w:rsidRDefault="00486F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7D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coronavirus was intentionally created to reduce the world’s population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79" w:type="dxa"/>
          </w:tcPr>
          <w:p w14:paraId="5ADD1EA9" w14:textId="77777777" w:rsidR="00486FE0" w:rsidRPr="00486FE0" w:rsidRDefault="004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Koronawirus</w:t>
            </w:r>
            <w:proofErr w:type="spellEnd"/>
            <w:r w:rsidRPr="00007D6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został stworzony specjalnie by ograniczyć populację światową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EB79031" w14:textId="1862A138" w:rsidR="004C1670" w:rsidRDefault="004C1670">
      <w:pPr>
        <w:rPr>
          <w:rFonts w:ascii="Times New Roman" w:hAnsi="Times New Roman" w:cs="Times New Roman"/>
          <w:sz w:val="24"/>
          <w:szCs w:val="24"/>
        </w:rPr>
      </w:pPr>
    </w:p>
    <w:p w14:paraId="1ACF9AF7" w14:textId="2E128AE2" w:rsidR="0055207D" w:rsidRDefault="0055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Krótki opis analiz:</w:t>
      </w:r>
    </w:p>
    <w:p w14:paraId="442B881D" w14:textId="77777777" w:rsidR="00E219CD" w:rsidRDefault="00552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była użyta na próbie internetowej kwotowej Polaków w sierpniu 2020 roku (N = 500, kwoty do wieku, płci, wykształcenia). Pozycje skali</w:t>
      </w:r>
      <w:r w:rsidR="00E219CD">
        <w:rPr>
          <w:rFonts w:ascii="Times New Roman" w:hAnsi="Times New Roman" w:cs="Times New Roman"/>
          <w:sz w:val="24"/>
          <w:szCs w:val="24"/>
        </w:rPr>
        <w:t xml:space="preserve"> 5, 6 i 7 zostały zmodyfikowane tak, by bardziej pasowały do polskiego kontekstu.</w:t>
      </w:r>
    </w:p>
    <w:p w14:paraId="00B6988D" w14:textId="77777777" w:rsidR="00E219CD" w:rsidRDefault="00E21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statystyki skali:</w:t>
      </w:r>
    </w:p>
    <w:p w14:paraId="5EB87195" w14:textId="77777777" w:rsidR="00E219CD" w:rsidRDefault="00E21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Skala jako całość posiada zadowalającą rzetelność - </w:t>
      </w:r>
      <w:proofErr w:type="spellStart"/>
      <w:r w:rsidRPr="00E219CD">
        <w:rPr>
          <w:rFonts w:ascii="Times New Roman" w:hAnsi="Times New Roman" w:cs="Times New Roman"/>
          <w:sz w:val="24"/>
          <w:szCs w:val="24"/>
        </w:rPr>
        <w:t>McDonald's</w:t>
      </w:r>
      <w:proofErr w:type="spellEnd"/>
      <w:r w:rsidRPr="00E219CD">
        <w:rPr>
          <w:rFonts w:ascii="Times New Roman" w:hAnsi="Times New Roman" w:cs="Times New Roman"/>
          <w:sz w:val="24"/>
          <w:szCs w:val="24"/>
        </w:rPr>
        <w:t xml:space="preserve"> ω</w:t>
      </w:r>
      <w:r>
        <w:rPr>
          <w:rFonts w:ascii="Times New Roman" w:hAnsi="Times New Roman" w:cs="Times New Roman"/>
          <w:sz w:val="24"/>
          <w:szCs w:val="24"/>
        </w:rPr>
        <w:t xml:space="preserve"> = .89 (.87, 90), </w:t>
      </w:r>
      <w:proofErr w:type="spellStart"/>
      <w:r w:rsidRPr="00E219CD">
        <w:rPr>
          <w:rFonts w:ascii="Times New Roman" w:hAnsi="Times New Roman" w:cs="Times New Roman"/>
          <w:sz w:val="24"/>
          <w:szCs w:val="24"/>
        </w:rPr>
        <w:t>Cronbach's</w:t>
      </w:r>
      <w:proofErr w:type="spellEnd"/>
      <w:r w:rsidRPr="00E219CD">
        <w:rPr>
          <w:rFonts w:ascii="Times New Roman" w:hAnsi="Times New Roman" w:cs="Times New Roman"/>
          <w:sz w:val="24"/>
          <w:szCs w:val="24"/>
        </w:rPr>
        <w:t xml:space="preserve"> α</w:t>
      </w:r>
      <w:r>
        <w:rPr>
          <w:rFonts w:ascii="Times New Roman" w:hAnsi="Times New Roman" w:cs="Times New Roman"/>
          <w:sz w:val="24"/>
          <w:szCs w:val="24"/>
        </w:rPr>
        <w:t xml:space="preserve"> = .88 (.86, .89). Brakuje pozycji, których usunięcie podwyższałoby rzetelność skali. </w:t>
      </w:r>
    </w:p>
    <w:p w14:paraId="17F0FE75" w14:textId="59A63B21" w:rsidR="001D0462" w:rsidRDefault="001D0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PCA wskazuje na istnienie jednego czynnika głównego wyjaśniającego 47% wariancji. Większość pozycji ładuje skalę przyzwoicie. Jednocześnie widać, że pozycje 2 i 3 stosunkowo niskie ładunki czynnikowe i duża część ich wariancji nie jest wyjaśniana przez </w:t>
      </w:r>
      <w:r w:rsidR="00F85CD4">
        <w:rPr>
          <w:rFonts w:ascii="Times New Roman" w:hAnsi="Times New Roman" w:cs="Times New Roman"/>
          <w:sz w:val="24"/>
          <w:szCs w:val="24"/>
        </w:rPr>
        <w:t>czynnik główny. Gdybyśmy mieli skracać skalę, to są to pierwsi kandydaci do usunięcia. Jednocześnie widać też, że ich znaczenie odbiega od pozostałych pozycji.</w:t>
      </w:r>
    </w:p>
    <w:p w14:paraId="25626B83" w14:textId="77777777" w:rsidR="001D0462" w:rsidRDefault="001D0462" w:rsidP="001D0462">
      <w:pPr>
        <w:pStyle w:val="Nagwek2"/>
      </w:pPr>
      <w:r>
        <w:t>Principal Component Analysis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36"/>
        <w:gridCol w:w="755"/>
        <w:gridCol w:w="36"/>
        <w:gridCol w:w="254"/>
        <w:gridCol w:w="36"/>
        <w:gridCol w:w="580"/>
        <w:gridCol w:w="36"/>
      </w:tblGrid>
      <w:tr w:rsidR="001D0462" w14:paraId="1F826A5E" w14:textId="77777777" w:rsidTr="001D0462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C35436" w14:textId="77777777" w:rsidR="001D0462" w:rsidRDefault="001D0462">
            <w:pPr>
              <w:divId w:val="1284269318"/>
              <w:rPr>
                <w:b/>
                <w:bCs/>
              </w:rPr>
            </w:pPr>
            <w:r>
              <w:rPr>
                <w:b/>
                <w:bCs/>
              </w:rPr>
              <w:t>Chi-</w:t>
            </w:r>
            <w:proofErr w:type="spellStart"/>
            <w:r>
              <w:rPr>
                <w:b/>
                <w:bCs/>
              </w:rPr>
              <w:t>squared</w:t>
            </w:r>
            <w:proofErr w:type="spellEnd"/>
            <w:r>
              <w:rPr>
                <w:b/>
                <w:bCs/>
              </w:rPr>
              <w:t xml:space="preserve"> Test </w:t>
            </w:r>
          </w:p>
        </w:tc>
      </w:tr>
      <w:tr w:rsidR="001D0462" w14:paraId="06CBF02C" w14:textId="77777777" w:rsidTr="001D046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376E50" w14:textId="77777777" w:rsidR="001D0462" w:rsidRDefault="001D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8FEEEC" w14:textId="77777777" w:rsidR="001D0462" w:rsidRDefault="001D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Value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CD90E0" w14:textId="77777777" w:rsidR="001D0462" w:rsidRDefault="001D04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df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BC39B" w14:textId="77777777" w:rsidR="001D0462" w:rsidRDefault="001D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</w:p>
        </w:tc>
      </w:tr>
      <w:tr w:rsidR="001D0462" w14:paraId="66438A49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979CF" w14:textId="77777777" w:rsidR="001D0462" w:rsidRDefault="001D0462">
            <w:r>
              <w:t xml:space="preserve">Model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2F262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980EE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852.529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F071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C11EA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82962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8533E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&lt; .001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E45AA" w14:textId="77777777" w:rsidR="001D0462" w:rsidRDefault="001D0462">
            <w:pPr>
              <w:jc w:val="right"/>
            </w:pPr>
          </w:p>
        </w:tc>
      </w:tr>
      <w:tr w:rsidR="001D0462" w14:paraId="198A4CC0" w14:textId="77777777" w:rsidTr="001D0462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81CF25A" w14:textId="77777777" w:rsidR="001D0462" w:rsidRDefault="001D0462">
            <w:pPr>
              <w:rPr>
                <w:sz w:val="20"/>
                <w:szCs w:val="20"/>
              </w:rPr>
            </w:pPr>
          </w:p>
        </w:tc>
      </w:tr>
    </w:tbl>
    <w:p w14:paraId="69AF245C" w14:textId="77777777" w:rsidR="001D0462" w:rsidRDefault="001D0462" w:rsidP="001D0462">
      <w:pPr>
        <w:rPr>
          <w:sz w:val="24"/>
          <w:szCs w:val="24"/>
        </w:rPr>
      </w:pPr>
      <w: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42"/>
        <w:gridCol w:w="615"/>
        <w:gridCol w:w="42"/>
        <w:gridCol w:w="1188"/>
        <w:gridCol w:w="81"/>
      </w:tblGrid>
      <w:tr w:rsidR="001D0462" w14:paraId="0ECD9755" w14:textId="77777777" w:rsidTr="001D0462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12C99D" w14:textId="77777777" w:rsidR="001D0462" w:rsidRDefault="001D0462">
            <w:pPr>
              <w:divId w:val="494221114"/>
              <w:rPr>
                <w:b/>
                <w:bCs/>
              </w:rPr>
            </w:pPr>
            <w:r>
              <w:rPr>
                <w:b/>
                <w:bCs/>
              </w:rPr>
              <w:t xml:space="preserve">Component </w:t>
            </w:r>
            <w:proofErr w:type="spellStart"/>
            <w:r>
              <w:rPr>
                <w:b/>
                <w:bCs/>
              </w:rPr>
              <w:t>Loadings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D0462" w14:paraId="1FF938B4" w14:textId="77777777" w:rsidTr="001D046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333EC5" w14:textId="77777777" w:rsidR="001D0462" w:rsidRDefault="001D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FBC975" w14:textId="77777777" w:rsidR="001D0462" w:rsidRDefault="001D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RC1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6C68B1" w14:textId="77777777" w:rsidR="001D0462" w:rsidRDefault="001D04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Uniqueness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D0462" w14:paraId="7F4BDC5C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1022B" w14:textId="77777777" w:rsidR="001D0462" w:rsidRDefault="001D0462">
            <w:r>
              <w:t xml:space="preserve">conspir_COVID1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D0EFA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4611D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E7CA3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050A8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0.570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315E6" w14:textId="77777777" w:rsidR="001D0462" w:rsidRDefault="001D0462">
            <w:pPr>
              <w:jc w:val="right"/>
            </w:pPr>
          </w:p>
        </w:tc>
      </w:tr>
      <w:tr w:rsidR="001D0462" w14:paraId="6677A34C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1C463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7D353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2C3F5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47FAB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2B204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0.921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D416B2" w14:textId="77777777" w:rsidR="001D0462" w:rsidRDefault="001D0462">
            <w:pPr>
              <w:jc w:val="right"/>
            </w:pPr>
          </w:p>
        </w:tc>
      </w:tr>
      <w:tr w:rsidR="001D0462" w14:paraId="129E8A55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08563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9D438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F5D75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0.509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127BE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EA6DA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0.741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3B25D" w14:textId="77777777" w:rsidR="001D0462" w:rsidRDefault="001D0462">
            <w:pPr>
              <w:jc w:val="right"/>
            </w:pPr>
          </w:p>
        </w:tc>
      </w:tr>
      <w:tr w:rsidR="001D0462" w14:paraId="045535B2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D8BC2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78A1C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A3EF3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D9D89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15F84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0.375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A477D" w14:textId="77777777" w:rsidR="001D0462" w:rsidRDefault="001D0462">
            <w:pPr>
              <w:jc w:val="right"/>
            </w:pPr>
          </w:p>
        </w:tc>
      </w:tr>
      <w:tr w:rsidR="001D0462" w14:paraId="62E2E613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99261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16D3B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829AE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0.779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3C95B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09D66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0.393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316E9" w14:textId="77777777" w:rsidR="001D0462" w:rsidRDefault="001D0462">
            <w:pPr>
              <w:jc w:val="right"/>
            </w:pPr>
          </w:p>
        </w:tc>
      </w:tr>
      <w:tr w:rsidR="001D0462" w14:paraId="50A4400D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1434A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F464D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8B857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0.760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49635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3365C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0.423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94FB9" w14:textId="77777777" w:rsidR="001D0462" w:rsidRDefault="001D0462">
            <w:pPr>
              <w:jc w:val="right"/>
            </w:pPr>
          </w:p>
        </w:tc>
      </w:tr>
      <w:tr w:rsidR="001D0462" w14:paraId="2621968B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A1661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9510A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6E99E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0.737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D04F9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4B59A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0.456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79311" w14:textId="77777777" w:rsidR="001D0462" w:rsidRDefault="001D0462">
            <w:pPr>
              <w:jc w:val="right"/>
            </w:pPr>
          </w:p>
        </w:tc>
      </w:tr>
      <w:tr w:rsidR="001D0462" w14:paraId="3EB93B49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92225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FD982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811A3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0.680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98A02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048DE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0.538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833D4" w14:textId="77777777" w:rsidR="001D0462" w:rsidRDefault="001D0462">
            <w:pPr>
              <w:jc w:val="right"/>
            </w:pPr>
          </w:p>
        </w:tc>
      </w:tr>
      <w:tr w:rsidR="001D0462" w14:paraId="7C38DD79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42F51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8216B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714C2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0.687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43F4C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D4B3C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0.529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C03C2" w14:textId="77777777" w:rsidR="001D0462" w:rsidRDefault="001D0462">
            <w:pPr>
              <w:jc w:val="right"/>
            </w:pPr>
          </w:p>
        </w:tc>
      </w:tr>
      <w:tr w:rsidR="001D0462" w14:paraId="7A9DA240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56D69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311C2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D3DA8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0.723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32B61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3D772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0.477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CF487" w14:textId="77777777" w:rsidR="001D0462" w:rsidRDefault="001D0462">
            <w:pPr>
              <w:jc w:val="right"/>
            </w:pPr>
          </w:p>
        </w:tc>
      </w:tr>
      <w:tr w:rsidR="001D0462" w14:paraId="2B70172B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66ED5" w14:textId="77777777" w:rsidR="001D0462" w:rsidRDefault="001D0462">
            <w:pPr>
              <w:rPr>
                <w:sz w:val="24"/>
                <w:szCs w:val="24"/>
              </w:rPr>
            </w:pPr>
            <w:r>
              <w:t xml:space="preserve">conspir_COVID11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6A557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1CAC8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0.752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D1BC5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F287C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0.434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107AC" w14:textId="77777777" w:rsidR="001D0462" w:rsidRDefault="001D0462">
            <w:pPr>
              <w:jc w:val="right"/>
            </w:pPr>
          </w:p>
        </w:tc>
      </w:tr>
      <w:tr w:rsidR="001D0462" w14:paraId="52D29374" w14:textId="77777777" w:rsidTr="001D0462">
        <w:tc>
          <w:tcPr>
            <w:tcW w:w="0" w:type="auto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635A39E" w14:textId="77777777" w:rsidR="001D0462" w:rsidRDefault="001D0462">
            <w:pPr>
              <w:rPr>
                <w:sz w:val="20"/>
                <w:szCs w:val="20"/>
              </w:rPr>
            </w:pPr>
          </w:p>
        </w:tc>
      </w:tr>
      <w:tr w:rsidR="001D0462" w:rsidRPr="001D0462" w14:paraId="1D33C434" w14:textId="77777777" w:rsidTr="001D046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FA5AD" w14:textId="77777777" w:rsidR="001D0462" w:rsidRPr="001D0462" w:rsidRDefault="001D0462">
            <w:pPr>
              <w:rPr>
                <w:sz w:val="24"/>
                <w:szCs w:val="24"/>
                <w:lang w:val="en-GB"/>
              </w:rPr>
            </w:pPr>
            <w:r w:rsidRPr="001D0462">
              <w:rPr>
                <w:rStyle w:val="Uwydatnienie"/>
                <w:lang w:val="en-GB"/>
              </w:rPr>
              <w:t xml:space="preserve">Note. </w:t>
            </w:r>
            <w:r w:rsidRPr="001D0462">
              <w:rPr>
                <w:lang w:val="en-GB"/>
              </w:rPr>
              <w:t xml:space="preserve"> Applied rotation method is </w:t>
            </w:r>
            <w:proofErr w:type="spellStart"/>
            <w:r w:rsidRPr="001D0462">
              <w:rPr>
                <w:lang w:val="en-GB"/>
              </w:rPr>
              <w:t>promax</w:t>
            </w:r>
            <w:proofErr w:type="spellEnd"/>
            <w:r w:rsidRPr="001D0462">
              <w:rPr>
                <w:lang w:val="en-GB"/>
              </w:rPr>
              <w:t xml:space="preserve">. </w:t>
            </w:r>
          </w:p>
        </w:tc>
      </w:tr>
    </w:tbl>
    <w:p w14:paraId="65FAB729" w14:textId="77777777" w:rsidR="001D0462" w:rsidRPr="001D0462" w:rsidRDefault="001D0462" w:rsidP="001D0462">
      <w:pPr>
        <w:rPr>
          <w:lang w:val="en-GB"/>
        </w:rPr>
      </w:pPr>
      <w:r w:rsidRPr="001D0462">
        <w:rPr>
          <w:lang w:val="en-GB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2"/>
        <w:gridCol w:w="956"/>
        <w:gridCol w:w="64"/>
        <w:gridCol w:w="1335"/>
        <w:gridCol w:w="90"/>
        <w:gridCol w:w="1002"/>
        <w:gridCol w:w="68"/>
      </w:tblGrid>
      <w:tr w:rsidR="001D0462" w14:paraId="791677AE" w14:textId="77777777" w:rsidTr="001D0462">
        <w:trPr>
          <w:tblHeader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51898B" w14:textId="77777777" w:rsidR="001D0462" w:rsidRDefault="001D0462">
            <w:pPr>
              <w:divId w:val="604339479"/>
              <w:rPr>
                <w:b/>
                <w:bCs/>
              </w:rPr>
            </w:pPr>
            <w:r>
              <w:rPr>
                <w:b/>
                <w:bCs/>
              </w:rPr>
              <w:t xml:space="preserve">Component </w:t>
            </w:r>
            <w:proofErr w:type="spellStart"/>
            <w:r>
              <w:rPr>
                <w:b/>
                <w:bCs/>
              </w:rPr>
              <w:t>Characteristics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D0462" w14:paraId="03BD7617" w14:textId="77777777" w:rsidTr="001D0462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FA3469" w14:textId="77777777" w:rsidR="001D0462" w:rsidRDefault="001D04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B9970F" w14:textId="77777777" w:rsidR="001D0462" w:rsidRDefault="001D04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Eigenvalue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E4D81E" w14:textId="77777777" w:rsidR="001D0462" w:rsidRDefault="001D04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Proportion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var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43BD2F" w14:textId="77777777" w:rsidR="001D0462" w:rsidRDefault="001D04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Cumulative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1D0462" w14:paraId="13BBFAA6" w14:textId="77777777" w:rsidTr="001D04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804CF" w14:textId="77777777" w:rsidR="001D0462" w:rsidRDefault="001D0462">
            <w:r>
              <w:t xml:space="preserve">RC1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D325F" w14:textId="77777777" w:rsidR="001D0462" w:rsidRDefault="001D04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230B1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5.144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2C965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51263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6F52FA" w14:textId="77777777" w:rsidR="001D0462" w:rsidRDefault="001D0462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F3A21" w14:textId="77777777" w:rsidR="001D0462" w:rsidRDefault="001D0462">
            <w:pPr>
              <w:jc w:val="right"/>
              <w:rPr>
                <w:sz w:val="24"/>
                <w:szCs w:val="24"/>
              </w:rPr>
            </w:pPr>
            <w:r>
              <w:t xml:space="preserve">0.468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5E0C0" w14:textId="77777777" w:rsidR="001D0462" w:rsidRDefault="001D0462">
            <w:pPr>
              <w:jc w:val="right"/>
            </w:pPr>
          </w:p>
        </w:tc>
      </w:tr>
      <w:tr w:rsidR="001D0462" w14:paraId="56A468A6" w14:textId="77777777" w:rsidTr="001D0462">
        <w:tc>
          <w:tcPr>
            <w:tcW w:w="0" w:type="auto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D8B5E10" w14:textId="77777777" w:rsidR="001D0462" w:rsidRDefault="001D0462">
            <w:pPr>
              <w:rPr>
                <w:sz w:val="20"/>
                <w:szCs w:val="20"/>
              </w:rPr>
            </w:pPr>
          </w:p>
        </w:tc>
      </w:tr>
    </w:tbl>
    <w:p w14:paraId="7C4F842A" w14:textId="77777777" w:rsidR="001D0462" w:rsidRDefault="001D0462" w:rsidP="001D0462">
      <w:pPr>
        <w:rPr>
          <w:sz w:val="24"/>
          <w:szCs w:val="24"/>
        </w:rPr>
      </w:pPr>
      <w:r>
        <w:t> </w:t>
      </w:r>
    </w:p>
    <w:p w14:paraId="118E33A0" w14:textId="77777777" w:rsidR="001D0462" w:rsidRDefault="001D0462" w:rsidP="001D0462">
      <w:pPr>
        <w:pStyle w:val="Nagwek3"/>
      </w:pPr>
      <w:proofErr w:type="spellStart"/>
      <w:r>
        <w:t>Scree</w:t>
      </w:r>
      <w:proofErr w:type="spellEnd"/>
      <w:r>
        <w:t xml:space="preserve"> plot</w:t>
      </w:r>
    </w:p>
    <w:p w14:paraId="175F380D" w14:textId="482CC545" w:rsidR="001D0462" w:rsidRDefault="001D0462" w:rsidP="001D0462">
      <w:r>
        <w:rPr>
          <w:noProof/>
        </w:rPr>
        <w:drawing>
          <wp:inline distT="0" distB="0" distL="0" distR="0" wp14:anchorId="21145DE2" wp14:editId="045EE967">
            <wp:extent cx="5760720" cy="38404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B20E" w14:textId="77777777" w:rsidR="00F85CD4" w:rsidRDefault="00F85CD4">
      <w:pPr>
        <w:rPr>
          <w:rFonts w:ascii="Times New Roman" w:hAnsi="Times New Roman" w:cs="Times New Roman"/>
          <w:sz w:val="24"/>
          <w:szCs w:val="24"/>
        </w:rPr>
      </w:pPr>
    </w:p>
    <w:sectPr w:rsidR="00F8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51B"/>
    <w:multiLevelType w:val="hybridMultilevel"/>
    <w:tmpl w:val="D3DAE2B0"/>
    <w:lvl w:ilvl="0" w:tplc="3B9E92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2NDQ0MrE0NTM2MTZX0lEKTi0uzszPAykwrAUAa61NtiwAAAA="/>
  </w:docVars>
  <w:rsids>
    <w:rsidRoot w:val="00007D68"/>
    <w:rsid w:val="00007D68"/>
    <w:rsid w:val="001D0462"/>
    <w:rsid w:val="00486FE0"/>
    <w:rsid w:val="004C1670"/>
    <w:rsid w:val="0055207D"/>
    <w:rsid w:val="009312CA"/>
    <w:rsid w:val="00CE5CB5"/>
    <w:rsid w:val="00D07255"/>
    <w:rsid w:val="00E219CD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F787"/>
  <w15:chartTrackingRefBased/>
  <w15:docId w15:val="{325DE026-FC21-43C6-AEAC-7DF16CC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68"/>
  </w:style>
  <w:style w:type="paragraph" w:styleId="Nagwek2">
    <w:name w:val="heading 2"/>
    <w:basedOn w:val="Normalny"/>
    <w:link w:val="Nagwek2Znak"/>
    <w:uiPriority w:val="9"/>
    <w:qFormat/>
    <w:rsid w:val="00E21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19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D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D68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07D68"/>
    <w:rPr>
      <w:i/>
      <w:iCs/>
    </w:rPr>
  </w:style>
  <w:style w:type="table" w:styleId="Tabela-Siatka">
    <w:name w:val="Table Grid"/>
    <w:basedOn w:val="Standardowy"/>
    <w:uiPriority w:val="39"/>
    <w:rsid w:val="0048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5207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219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19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9C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40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722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521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95953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401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1569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667898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8126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6635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35185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94958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1507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007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77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3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617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0827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615679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176092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3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214130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i.org/10.1017/S0008423920000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Główczewski</dc:creator>
  <cp:keywords/>
  <dc:description/>
  <cp:lastModifiedBy>Adrian Wójcik</cp:lastModifiedBy>
  <cp:revision>5</cp:revision>
  <dcterms:created xsi:type="dcterms:W3CDTF">2020-10-20T08:15:00Z</dcterms:created>
  <dcterms:modified xsi:type="dcterms:W3CDTF">2020-10-27T23:03:00Z</dcterms:modified>
</cp:coreProperties>
</file>